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left="170"/>
        <w:jc w:val="left"/>
        <w:rPr>
          <w:rFonts w:ascii="Times New Roman"/>
        </w:rPr>
      </w:pPr>
      <w:r>
        <w:rPr>
          <w:rFonts w:ascii="Times New Roman"/>
        </w:rPr>
        <w:drawing>
          <wp:inline distT="0" distB="0" distL="0" distR="0">
            <wp:extent cx="590550" cy="228600"/>
            <wp:effectExtent l="0" t="0" r="0" b="0"/>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590550" cy="228600"/>
                    </a:xfrm>
                    <a:prstGeom prst="rect">
                      <a:avLst/>
                    </a:prstGeom>
                  </pic:spPr>
                </pic:pic>
              </a:graphicData>
            </a:graphic>
          </wp:inline>
        </w:drawing>
      </w:r>
      <w:r>
        <w:rPr>
          <w:rFonts w:ascii="Times New Roman"/>
        </w:rPr>
      </w:r>
    </w:p>
    <w:p>
      <w:pPr>
        <w:pStyle w:val="BodyText"/>
        <w:ind w:left="0"/>
        <w:jc w:val="left"/>
        <w:rPr>
          <w:rFonts w:ascii="Times New Roman"/>
          <w:sz w:val="24"/>
        </w:rPr>
      </w:pPr>
    </w:p>
    <w:p>
      <w:pPr>
        <w:pStyle w:val="BodyText"/>
        <w:spacing w:before="53"/>
        <w:ind w:left="0"/>
        <w:jc w:val="left"/>
        <w:rPr>
          <w:rFonts w:ascii="Times New Roman"/>
          <w:sz w:val="24"/>
        </w:rPr>
      </w:pPr>
    </w:p>
    <w:p>
      <w:pPr>
        <w:pStyle w:val="Title"/>
        <w:spacing w:line="235" w:lineRule="auto"/>
      </w:pPr>
      <w:r>
        <w:rPr/>
        <w:t>Appian Cloud Service</w:t>
      </w:r>
      <w:r>
        <w:rPr>
          <w:spacing w:val="-18"/>
        </w:rPr>
        <w:t> </w:t>
      </w:r>
      <w:r>
        <w:rPr/>
        <w:t>Level</w:t>
      </w:r>
      <w:r>
        <w:rPr>
          <w:spacing w:val="-18"/>
        </w:rPr>
        <w:t> </w:t>
      </w:r>
      <w:r>
        <w:rPr/>
        <w:t>Agreement</w:t>
      </w:r>
    </w:p>
    <w:p>
      <w:pPr>
        <w:pStyle w:val="ListParagraph"/>
        <w:numPr>
          <w:ilvl w:val="0"/>
          <w:numId w:val="1"/>
        </w:numPr>
        <w:tabs>
          <w:tab w:pos="430" w:val="left" w:leader="none"/>
        </w:tabs>
        <w:spacing w:line="242" w:lineRule="auto" w:before="234" w:after="0"/>
        <w:ind w:left="140" w:right="229" w:firstLine="0"/>
        <w:jc w:val="left"/>
        <w:rPr>
          <w:sz w:val="20"/>
        </w:rPr>
      </w:pPr>
      <w:r>
        <w:rPr>
          <w:b/>
          <w:sz w:val="20"/>
        </w:rPr>
        <w:t>GENERAL</w:t>
      </w:r>
      <w:r>
        <w:rPr>
          <w:b/>
          <w:spacing w:val="40"/>
          <w:sz w:val="20"/>
        </w:rPr>
        <w:t> </w:t>
      </w:r>
      <w:r>
        <w:rPr>
          <w:b/>
          <w:sz w:val="20"/>
        </w:rPr>
        <w:t>SERVICE</w:t>
      </w:r>
      <w:r>
        <w:rPr>
          <w:b/>
          <w:spacing w:val="40"/>
          <w:sz w:val="20"/>
        </w:rPr>
        <w:t> </w:t>
      </w:r>
      <w:r>
        <w:rPr>
          <w:b/>
          <w:sz w:val="20"/>
        </w:rPr>
        <w:t>OBLIGATIONS</w:t>
      </w:r>
      <w:r>
        <w:rPr>
          <w:b/>
          <w:spacing w:val="40"/>
          <w:sz w:val="20"/>
        </w:rPr>
        <w:t> </w:t>
      </w:r>
      <w:r>
        <w:rPr>
          <w:sz w:val="20"/>
        </w:rPr>
        <w:t>-</w:t>
      </w:r>
      <w:r>
        <w:rPr>
          <w:spacing w:val="40"/>
          <w:sz w:val="20"/>
        </w:rPr>
        <w:t> </w:t>
      </w:r>
      <w:r>
        <w:rPr>
          <w:sz w:val="20"/>
        </w:rPr>
        <w:t>Appian’s</w:t>
      </w:r>
      <w:r>
        <w:rPr>
          <w:spacing w:val="40"/>
          <w:sz w:val="20"/>
        </w:rPr>
        <w:t> </w:t>
      </w:r>
      <w:r>
        <w:rPr>
          <w:sz w:val="20"/>
        </w:rPr>
        <w:t>obligations</w:t>
      </w:r>
      <w:r>
        <w:rPr>
          <w:spacing w:val="40"/>
          <w:sz w:val="20"/>
        </w:rPr>
        <w:t> </w:t>
      </w:r>
      <w:r>
        <w:rPr>
          <w:sz w:val="20"/>
        </w:rPr>
        <w:t>depend</w:t>
      </w:r>
      <w:r>
        <w:rPr>
          <w:spacing w:val="40"/>
          <w:sz w:val="20"/>
        </w:rPr>
        <w:t> </w:t>
      </w:r>
      <w:r>
        <w:rPr>
          <w:sz w:val="20"/>
        </w:rPr>
        <w:t>on</w:t>
      </w:r>
      <w:r>
        <w:rPr>
          <w:spacing w:val="40"/>
          <w:sz w:val="20"/>
        </w:rPr>
        <w:t> </w:t>
      </w:r>
      <w:r>
        <w:rPr>
          <w:sz w:val="20"/>
        </w:rPr>
        <w:t>the</w:t>
      </w:r>
      <w:r>
        <w:rPr>
          <w:spacing w:val="40"/>
          <w:sz w:val="20"/>
        </w:rPr>
        <w:t> </w:t>
      </w:r>
      <w:r>
        <w:rPr>
          <w:sz w:val="20"/>
        </w:rPr>
        <w:t>type</w:t>
      </w:r>
      <w:r>
        <w:rPr>
          <w:spacing w:val="40"/>
          <w:sz w:val="20"/>
        </w:rPr>
        <w:t> </w:t>
      </w:r>
      <w:r>
        <w:rPr>
          <w:sz w:val="20"/>
        </w:rPr>
        <w:t>of</w:t>
      </w:r>
      <w:r>
        <w:rPr>
          <w:spacing w:val="40"/>
          <w:sz w:val="20"/>
        </w:rPr>
        <w:t> </w:t>
      </w:r>
      <w:r>
        <w:rPr>
          <w:sz w:val="20"/>
        </w:rPr>
        <w:t>Maintenance</w:t>
      </w:r>
      <w:r>
        <w:rPr>
          <w:spacing w:val="40"/>
          <w:sz w:val="20"/>
        </w:rPr>
        <w:t> </w:t>
      </w:r>
      <w:r>
        <w:rPr>
          <w:sz w:val="20"/>
        </w:rPr>
        <w:t>Services</w:t>
      </w:r>
      <w:r>
        <w:rPr>
          <w:spacing w:val="40"/>
          <w:sz w:val="20"/>
        </w:rPr>
        <w:t> </w:t>
      </w:r>
      <w:r>
        <w:rPr>
          <w:sz w:val="20"/>
        </w:rPr>
        <w:t>that Subscriber purchases in a corresponding Order Form, as set forth in the following chart:</w:t>
      </w:r>
    </w:p>
    <w:p>
      <w:pPr>
        <w:pStyle w:val="BodyText"/>
        <w:ind w:left="0"/>
        <w:jc w:val="left"/>
        <w:rPr>
          <w:sz w:val="17"/>
        </w:rPr>
      </w:pPr>
    </w:p>
    <w:tbl>
      <w:tblPr>
        <w:tblW w:w="0" w:type="auto"/>
        <w:jc w:val="left"/>
        <w:tblInd w:w="165"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3970"/>
        <w:gridCol w:w="1860"/>
        <w:gridCol w:w="1800"/>
        <w:gridCol w:w="1780"/>
        <w:gridCol w:w="1470"/>
      </w:tblGrid>
      <w:tr>
        <w:trPr>
          <w:trHeight w:val="357" w:hRule="atLeast"/>
        </w:trPr>
        <w:tc>
          <w:tcPr>
            <w:tcW w:w="3970" w:type="dxa"/>
            <w:tcBorders>
              <w:bottom w:val="single" w:sz="8" w:space="0" w:color="000000"/>
              <w:right w:val="single" w:sz="8" w:space="0" w:color="1B4586"/>
            </w:tcBorders>
            <w:shd w:val="clear" w:color="auto" w:fill="1B4586"/>
          </w:tcPr>
          <w:p>
            <w:pPr>
              <w:pStyle w:val="TableParagraph"/>
              <w:jc w:val="left"/>
              <w:rPr>
                <w:rFonts w:ascii="Times New Roman"/>
                <w:sz w:val="18"/>
              </w:rPr>
            </w:pPr>
          </w:p>
        </w:tc>
        <w:tc>
          <w:tcPr>
            <w:tcW w:w="1860" w:type="dxa"/>
            <w:tcBorders>
              <w:left w:val="single" w:sz="8" w:space="0" w:color="1B4586"/>
              <w:bottom w:val="single" w:sz="8" w:space="0" w:color="000000"/>
              <w:right w:val="single" w:sz="8" w:space="0" w:color="1B4586"/>
            </w:tcBorders>
            <w:shd w:val="clear" w:color="auto" w:fill="1B4586"/>
          </w:tcPr>
          <w:p>
            <w:pPr>
              <w:pStyle w:val="TableParagraph"/>
              <w:spacing w:before="49"/>
              <w:ind w:left="40" w:right="5"/>
              <w:rPr>
                <w:b/>
                <w:sz w:val="20"/>
              </w:rPr>
            </w:pPr>
            <w:r>
              <w:rPr>
                <w:b/>
                <w:color w:val="FFFFFF"/>
                <w:spacing w:val="-2"/>
                <w:sz w:val="20"/>
              </w:rPr>
              <w:t>BASIC</w:t>
            </w:r>
          </w:p>
        </w:tc>
        <w:tc>
          <w:tcPr>
            <w:tcW w:w="1800" w:type="dxa"/>
            <w:tcBorders>
              <w:left w:val="single" w:sz="8" w:space="0" w:color="1B4586"/>
              <w:bottom w:val="single" w:sz="8" w:space="0" w:color="000000"/>
              <w:right w:val="single" w:sz="8" w:space="0" w:color="000000"/>
            </w:tcBorders>
            <w:shd w:val="clear" w:color="auto" w:fill="1B4586"/>
          </w:tcPr>
          <w:p>
            <w:pPr>
              <w:pStyle w:val="TableParagraph"/>
              <w:spacing w:before="49"/>
              <w:ind w:left="25" w:right="5"/>
              <w:rPr>
                <w:b/>
                <w:sz w:val="20"/>
              </w:rPr>
            </w:pPr>
            <w:r>
              <w:rPr>
                <w:b/>
                <w:color w:val="FFFFFF"/>
                <w:spacing w:val="-2"/>
                <w:sz w:val="20"/>
              </w:rPr>
              <w:t>ESSENTIAL</w:t>
            </w:r>
          </w:p>
        </w:tc>
        <w:tc>
          <w:tcPr>
            <w:tcW w:w="1780" w:type="dxa"/>
            <w:tcBorders>
              <w:left w:val="single" w:sz="8" w:space="0" w:color="000000"/>
              <w:bottom w:val="single" w:sz="8" w:space="0" w:color="000000"/>
              <w:right w:val="single" w:sz="8" w:space="0" w:color="000000"/>
            </w:tcBorders>
            <w:shd w:val="clear" w:color="auto" w:fill="1B4586"/>
          </w:tcPr>
          <w:p>
            <w:pPr>
              <w:pStyle w:val="TableParagraph"/>
              <w:spacing w:before="49"/>
              <w:ind w:left="30" w:right="5"/>
              <w:rPr>
                <w:b/>
                <w:sz w:val="20"/>
              </w:rPr>
            </w:pPr>
            <w:r>
              <w:rPr>
                <w:b/>
                <w:color w:val="FFFFFF"/>
                <w:spacing w:val="-2"/>
                <w:sz w:val="20"/>
              </w:rPr>
              <w:t>ADVANCED</w:t>
            </w:r>
          </w:p>
        </w:tc>
        <w:tc>
          <w:tcPr>
            <w:tcW w:w="1470" w:type="dxa"/>
            <w:tcBorders>
              <w:left w:val="single" w:sz="8" w:space="0" w:color="000000"/>
              <w:bottom w:val="single" w:sz="8" w:space="0" w:color="000000"/>
            </w:tcBorders>
            <w:shd w:val="clear" w:color="auto" w:fill="1B4586"/>
          </w:tcPr>
          <w:p>
            <w:pPr>
              <w:pStyle w:val="TableParagraph"/>
              <w:spacing w:before="49"/>
              <w:ind w:left="47" w:right="5"/>
              <w:rPr>
                <w:b/>
                <w:sz w:val="20"/>
              </w:rPr>
            </w:pPr>
            <w:r>
              <w:rPr>
                <w:b/>
                <w:color w:val="FFFFFF"/>
                <w:spacing w:val="-2"/>
                <w:sz w:val="20"/>
              </w:rPr>
              <w:t>ENTERPRISE</w:t>
            </w:r>
          </w:p>
        </w:tc>
      </w:tr>
      <w:tr>
        <w:trPr>
          <w:trHeight w:val="400" w:hRule="atLeast"/>
        </w:trPr>
        <w:tc>
          <w:tcPr>
            <w:tcW w:w="10880" w:type="dxa"/>
            <w:gridSpan w:val="5"/>
            <w:tcBorders>
              <w:top w:val="single" w:sz="8" w:space="0" w:color="000000"/>
              <w:bottom w:val="single" w:sz="8" w:space="0" w:color="D9D9D9"/>
            </w:tcBorders>
            <w:shd w:val="clear" w:color="auto" w:fill="EFEFEF"/>
          </w:tcPr>
          <w:p>
            <w:pPr>
              <w:pStyle w:val="TableParagraph"/>
              <w:spacing w:before="92"/>
              <w:ind w:left="102"/>
              <w:jc w:val="left"/>
              <w:rPr>
                <w:b/>
                <w:sz w:val="18"/>
              </w:rPr>
            </w:pPr>
            <w:r>
              <w:rPr>
                <w:b/>
                <w:sz w:val="18"/>
              </w:rPr>
              <w:t>TECHNICAL SUPPORT </w:t>
            </w:r>
            <w:r>
              <w:rPr>
                <w:b/>
                <w:spacing w:val="-2"/>
                <w:sz w:val="18"/>
              </w:rPr>
              <w:t>SERVICES</w:t>
            </w:r>
          </w:p>
        </w:tc>
      </w:tr>
      <w:tr>
        <w:trPr>
          <w:trHeight w:val="299" w:hRule="atLeast"/>
        </w:trPr>
        <w:tc>
          <w:tcPr>
            <w:tcW w:w="3970" w:type="dxa"/>
            <w:tcBorders>
              <w:top w:val="single" w:sz="8" w:space="0" w:color="D9D9D9"/>
              <w:bottom w:val="single" w:sz="8" w:space="0" w:color="000000"/>
              <w:right w:val="single" w:sz="8" w:space="0" w:color="000000"/>
            </w:tcBorders>
          </w:tcPr>
          <w:p>
            <w:pPr>
              <w:pStyle w:val="TableParagraph"/>
              <w:jc w:val="left"/>
              <w:rPr>
                <w:rFonts w:ascii="Times New Roman"/>
                <w:sz w:val="18"/>
              </w:rPr>
            </w:pPr>
          </w:p>
        </w:tc>
        <w:tc>
          <w:tcPr>
            <w:tcW w:w="6910" w:type="dxa"/>
            <w:gridSpan w:val="4"/>
            <w:tcBorders>
              <w:top w:val="single" w:sz="8" w:space="0" w:color="D9D9D9"/>
              <w:left w:val="single" w:sz="8" w:space="0" w:color="000000"/>
              <w:bottom w:val="single" w:sz="8" w:space="0" w:color="000000"/>
            </w:tcBorders>
          </w:tcPr>
          <w:p>
            <w:pPr>
              <w:pStyle w:val="TableParagraph"/>
              <w:spacing w:before="32"/>
              <w:ind w:left="1973"/>
              <w:jc w:val="left"/>
              <w:rPr>
                <w:b/>
                <w:sz w:val="20"/>
              </w:rPr>
            </w:pPr>
            <w:r>
              <w:rPr>
                <w:b/>
                <w:sz w:val="20"/>
              </w:rPr>
              <w:t>Technical</w:t>
            </w:r>
            <w:r>
              <w:rPr>
                <w:b/>
                <w:spacing w:val="-8"/>
                <w:sz w:val="20"/>
              </w:rPr>
              <w:t> </w:t>
            </w:r>
            <w:r>
              <w:rPr>
                <w:b/>
                <w:sz w:val="20"/>
              </w:rPr>
              <w:t>Support</w:t>
            </w:r>
            <w:r>
              <w:rPr>
                <w:b/>
                <w:spacing w:val="-8"/>
                <w:sz w:val="20"/>
              </w:rPr>
              <w:t> </w:t>
            </w:r>
            <w:r>
              <w:rPr>
                <w:b/>
                <w:spacing w:val="-2"/>
                <w:sz w:val="20"/>
              </w:rPr>
              <w:t>Availability</w:t>
            </w:r>
          </w:p>
        </w:tc>
      </w:tr>
      <w:tr>
        <w:trPr>
          <w:trHeight w:val="319" w:hRule="atLeast"/>
        </w:trPr>
        <w:tc>
          <w:tcPr>
            <w:tcW w:w="3970" w:type="dxa"/>
            <w:tcBorders>
              <w:top w:val="single" w:sz="8" w:space="0" w:color="000000"/>
              <w:bottom w:val="single" w:sz="8" w:space="0" w:color="000000"/>
              <w:right w:val="single" w:sz="8" w:space="0" w:color="000000"/>
            </w:tcBorders>
          </w:tcPr>
          <w:p>
            <w:pPr>
              <w:pStyle w:val="TableParagraph"/>
              <w:spacing w:before="27"/>
              <w:ind w:left="83"/>
              <w:jc w:val="left"/>
              <w:rPr>
                <w:sz w:val="18"/>
              </w:rPr>
            </w:pPr>
            <w:r>
              <w:rPr>
                <w:sz w:val="18"/>
              </w:rPr>
              <w:t>Priority</w:t>
            </w:r>
            <w:r>
              <w:rPr>
                <w:spacing w:val="-1"/>
                <w:sz w:val="18"/>
              </w:rPr>
              <w:t> </w:t>
            </w:r>
            <w:r>
              <w:rPr>
                <w:sz w:val="18"/>
              </w:rPr>
              <w:t>1 &amp;</w:t>
            </w:r>
            <w:r>
              <w:rPr>
                <w:spacing w:val="-1"/>
                <w:sz w:val="18"/>
              </w:rPr>
              <w:t> </w:t>
            </w:r>
            <w:r>
              <w:rPr>
                <w:sz w:val="18"/>
              </w:rPr>
              <w:t>2 </w:t>
            </w:r>
            <w:r>
              <w:rPr>
                <w:spacing w:val="-2"/>
                <w:sz w:val="18"/>
              </w:rPr>
              <w:t>Issues</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spacing w:before="27"/>
              <w:ind w:left="40" w:right="5"/>
              <w:rPr>
                <w:sz w:val="18"/>
              </w:rPr>
            </w:pPr>
            <w:r>
              <w:rPr>
                <w:sz w:val="18"/>
              </w:rPr>
              <w:t>Local Business </w:t>
            </w:r>
            <w:r>
              <w:rPr>
                <w:spacing w:val="-2"/>
                <w:sz w:val="18"/>
              </w:rPr>
              <w:t>Hours</w:t>
            </w:r>
          </w:p>
        </w:tc>
        <w:tc>
          <w:tcPr>
            <w:tcW w:w="1800" w:type="dxa"/>
            <w:tcBorders>
              <w:top w:val="single" w:sz="8" w:space="0" w:color="000000"/>
              <w:left w:val="single" w:sz="8" w:space="0" w:color="000000"/>
              <w:bottom w:val="single" w:sz="8" w:space="0" w:color="000000"/>
              <w:right w:val="single" w:sz="8" w:space="0" w:color="000000"/>
            </w:tcBorders>
          </w:tcPr>
          <w:p>
            <w:pPr>
              <w:pStyle w:val="TableParagraph"/>
              <w:spacing w:before="27"/>
              <w:ind w:left="25" w:right="5"/>
              <w:rPr>
                <w:sz w:val="18"/>
              </w:rPr>
            </w:pPr>
            <w:r>
              <w:rPr>
                <w:spacing w:val="-4"/>
                <w:sz w:val="18"/>
              </w:rPr>
              <w:t>24x5</w:t>
            </w:r>
          </w:p>
        </w:tc>
        <w:tc>
          <w:tcPr>
            <w:tcW w:w="1780" w:type="dxa"/>
            <w:tcBorders>
              <w:top w:val="single" w:sz="8" w:space="0" w:color="000000"/>
              <w:left w:val="single" w:sz="8" w:space="0" w:color="000000"/>
              <w:bottom w:val="single" w:sz="8" w:space="0" w:color="000000"/>
              <w:right w:val="single" w:sz="8" w:space="0" w:color="000000"/>
            </w:tcBorders>
          </w:tcPr>
          <w:p>
            <w:pPr>
              <w:pStyle w:val="TableParagraph"/>
              <w:spacing w:before="27"/>
              <w:ind w:left="30" w:right="5"/>
              <w:rPr>
                <w:sz w:val="18"/>
              </w:rPr>
            </w:pPr>
            <w:r>
              <w:rPr>
                <w:spacing w:val="-2"/>
                <w:sz w:val="18"/>
              </w:rPr>
              <w:t>24x7x365</w:t>
            </w:r>
          </w:p>
        </w:tc>
        <w:tc>
          <w:tcPr>
            <w:tcW w:w="1470" w:type="dxa"/>
            <w:tcBorders>
              <w:top w:val="single" w:sz="8" w:space="0" w:color="000000"/>
              <w:left w:val="single" w:sz="8" w:space="0" w:color="000000"/>
              <w:bottom w:val="single" w:sz="8" w:space="0" w:color="000000"/>
            </w:tcBorders>
          </w:tcPr>
          <w:p>
            <w:pPr>
              <w:pStyle w:val="TableParagraph"/>
              <w:spacing w:before="27"/>
              <w:ind w:left="47" w:right="5"/>
              <w:rPr>
                <w:sz w:val="18"/>
              </w:rPr>
            </w:pPr>
            <w:r>
              <w:rPr>
                <w:spacing w:val="-2"/>
                <w:sz w:val="18"/>
              </w:rPr>
              <w:t>24x7x365</w:t>
            </w:r>
          </w:p>
        </w:tc>
      </w:tr>
      <w:tr>
        <w:trPr>
          <w:trHeight w:val="300" w:hRule="atLeast"/>
        </w:trPr>
        <w:tc>
          <w:tcPr>
            <w:tcW w:w="3970" w:type="dxa"/>
            <w:tcBorders>
              <w:top w:val="single" w:sz="8" w:space="0" w:color="000000"/>
              <w:bottom w:val="single" w:sz="8" w:space="0" w:color="000000"/>
              <w:right w:val="single" w:sz="8" w:space="0" w:color="000000"/>
            </w:tcBorders>
          </w:tcPr>
          <w:p>
            <w:pPr>
              <w:pStyle w:val="TableParagraph"/>
              <w:spacing w:before="17"/>
              <w:ind w:left="83"/>
              <w:jc w:val="left"/>
              <w:rPr>
                <w:sz w:val="18"/>
              </w:rPr>
            </w:pPr>
            <w:r>
              <w:rPr>
                <w:sz w:val="18"/>
              </w:rPr>
              <w:t>Priority</w:t>
            </w:r>
            <w:r>
              <w:rPr>
                <w:spacing w:val="-1"/>
                <w:sz w:val="18"/>
              </w:rPr>
              <w:t> </w:t>
            </w:r>
            <w:r>
              <w:rPr>
                <w:sz w:val="18"/>
              </w:rPr>
              <w:t>3 &amp;</w:t>
            </w:r>
            <w:r>
              <w:rPr>
                <w:spacing w:val="-1"/>
                <w:sz w:val="18"/>
              </w:rPr>
              <w:t> </w:t>
            </w:r>
            <w:r>
              <w:rPr>
                <w:sz w:val="18"/>
              </w:rPr>
              <w:t>4 </w:t>
            </w:r>
            <w:r>
              <w:rPr>
                <w:spacing w:val="-2"/>
                <w:sz w:val="18"/>
              </w:rPr>
              <w:t>Issues</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spacing w:before="17"/>
              <w:ind w:left="40" w:right="5"/>
              <w:rPr>
                <w:sz w:val="18"/>
              </w:rPr>
            </w:pPr>
            <w:r>
              <w:rPr>
                <w:sz w:val="18"/>
              </w:rPr>
              <w:t>Local Business </w:t>
            </w:r>
            <w:r>
              <w:rPr>
                <w:spacing w:val="-2"/>
                <w:sz w:val="18"/>
              </w:rPr>
              <w:t>Hours</w:t>
            </w:r>
          </w:p>
        </w:tc>
        <w:tc>
          <w:tcPr>
            <w:tcW w:w="1800" w:type="dxa"/>
            <w:tcBorders>
              <w:top w:val="single" w:sz="8" w:space="0" w:color="000000"/>
              <w:left w:val="single" w:sz="8" w:space="0" w:color="000000"/>
              <w:bottom w:val="single" w:sz="8" w:space="0" w:color="000000"/>
              <w:right w:val="single" w:sz="8" w:space="0" w:color="000000"/>
            </w:tcBorders>
          </w:tcPr>
          <w:p>
            <w:pPr>
              <w:pStyle w:val="TableParagraph"/>
              <w:spacing w:before="17"/>
              <w:ind w:left="25" w:right="5"/>
              <w:rPr>
                <w:sz w:val="18"/>
              </w:rPr>
            </w:pPr>
            <w:r>
              <w:rPr>
                <w:sz w:val="18"/>
              </w:rPr>
              <w:t>Local Business </w:t>
            </w:r>
            <w:r>
              <w:rPr>
                <w:spacing w:val="-2"/>
                <w:sz w:val="18"/>
              </w:rPr>
              <w:t>Hours</w:t>
            </w:r>
          </w:p>
        </w:tc>
        <w:tc>
          <w:tcPr>
            <w:tcW w:w="1780" w:type="dxa"/>
            <w:tcBorders>
              <w:top w:val="single" w:sz="8" w:space="0" w:color="000000"/>
              <w:left w:val="single" w:sz="8" w:space="0" w:color="000000"/>
              <w:bottom w:val="single" w:sz="8" w:space="0" w:color="000000"/>
              <w:right w:val="single" w:sz="8" w:space="0" w:color="000000"/>
            </w:tcBorders>
          </w:tcPr>
          <w:p>
            <w:pPr>
              <w:pStyle w:val="TableParagraph"/>
              <w:spacing w:before="17"/>
              <w:ind w:left="30" w:right="5"/>
              <w:rPr>
                <w:sz w:val="18"/>
              </w:rPr>
            </w:pPr>
            <w:r>
              <w:rPr>
                <w:sz w:val="18"/>
              </w:rPr>
              <w:t>Local Business </w:t>
            </w:r>
            <w:r>
              <w:rPr>
                <w:spacing w:val="-2"/>
                <w:sz w:val="18"/>
              </w:rPr>
              <w:t>Hours</w:t>
            </w:r>
          </w:p>
        </w:tc>
        <w:tc>
          <w:tcPr>
            <w:tcW w:w="1470" w:type="dxa"/>
            <w:tcBorders>
              <w:top w:val="single" w:sz="8" w:space="0" w:color="000000"/>
              <w:left w:val="single" w:sz="8" w:space="0" w:color="000000"/>
              <w:bottom w:val="single" w:sz="8" w:space="0" w:color="000000"/>
            </w:tcBorders>
          </w:tcPr>
          <w:p>
            <w:pPr>
              <w:pStyle w:val="TableParagraph"/>
              <w:spacing w:before="17"/>
              <w:ind w:left="47" w:right="5"/>
              <w:rPr>
                <w:sz w:val="18"/>
              </w:rPr>
            </w:pPr>
            <w:r>
              <w:rPr>
                <w:spacing w:val="-4"/>
                <w:sz w:val="18"/>
              </w:rPr>
              <w:t>24x5</w:t>
            </w:r>
          </w:p>
        </w:tc>
      </w:tr>
      <w:tr>
        <w:trPr>
          <w:trHeight w:val="340" w:hRule="atLeast"/>
        </w:trPr>
        <w:tc>
          <w:tcPr>
            <w:tcW w:w="3970" w:type="dxa"/>
            <w:tcBorders>
              <w:top w:val="single" w:sz="8" w:space="0" w:color="000000"/>
              <w:bottom w:val="single" w:sz="8" w:space="0" w:color="000000"/>
              <w:right w:val="single" w:sz="8" w:space="0" w:color="000000"/>
            </w:tcBorders>
          </w:tcPr>
          <w:p>
            <w:pPr>
              <w:pStyle w:val="TableParagraph"/>
              <w:spacing w:before="57"/>
              <w:ind w:left="83"/>
              <w:jc w:val="left"/>
              <w:rPr>
                <w:sz w:val="18"/>
              </w:rPr>
            </w:pPr>
            <w:r>
              <w:rPr>
                <w:sz w:val="18"/>
              </w:rPr>
              <w:t>Designated Support </w:t>
            </w:r>
            <w:r>
              <w:rPr>
                <w:spacing w:val="-2"/>
                <w:sz w:val="18"/>
              </w:rPr>
              <w:t>Contacts</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spacing w:before="27"/>
              <w:ind w:left="40" w:right="5"/>
              <w:rPr>
                <w:sz w:val="20"/>
              </w:rPr>
            </w:pPr>
            <w:r>
              <w:rPr>
                <w:spacing w:val="-10"/>
                <w:sz w:val="20"/>
              </w:rPr>
              <w:t>2</w:t>
            </w:r>
          </w:p>
        </w:tc>
        <w:tc>
          <w:tcPr>
            <w:tcW w:w="1800" w:type="dxa"/>
            <w:tcBorders>
              <w:top w:val="single" w:sz="8" w:space="0" w:color="000000"/>
              <w:left w:val="single" w:sz="8" w:space="0" w:color="000000"/>
              <w:bottom w:val="single" w:sz="8" w:space="0" w:color="000000"/>
              <w:right w:val="single" w:sz="8" w:space="0" w:color="000000"/>
            </w:tcBorders>
          </w:tcPr>
          <w:p>
            <w:pPr>
              <w:pStyle w:val="TableParagraph"/>
              <w:spacing w:before="27"/>
              <w:ind w:left="25" w:right="5"/>
              <w:rPr>
                <w:sz w:val="20"/>
              </w:rPr>
            </w:pPr>
            <w:r>
              <w:rPr>
                <w:spacing w:val="-10"/>
                <w:sz w:val="20"/>
              </w:rPr>
              <w:t>4</w:t>
            </w:r>
          </w:p>
        </w:tc>
        <w:tc>
          <w:tcPr>
            <w:tcW w:w="1780" w:type="dxa"/>
            <w:tcBorders>
              <w:top w:val="single" w:sz="8" w:space="0" w:color="000000"/>
              <w:left w:val="single" w:sz="8" w:space="0" w:color="000000"/>
              <w:bottom w:val="single" w:sz="8" w:space="0" w:color="000000"/>
              <w:right w:val="single" w:sz="8" w:space="0" w:color="000000"/>
            </w:tcBorders>
          </w:tcPr>
          <w:p>
            <w:pPr>
              <w:pStyle w:val="TableParagraph"/>
              <w:spacing w:before="27"/>
              <w:ind w:left="30" w:right="5"/>
              <w:rPr>
                <w:sz w:val="20"/>
              </w:rPr>
            </w:pPr>
            <w:r>
              <w:rPr>
                <w:spacing w:val="-5"/>
                <w:sz w:val="20"/>
              </w:rPr>
              <w:t>12</w:t>
            </w:r>
          </w:p>
        </w:tc>
        <w:tc>
          <w:tcPr>
            <w:tcW w:w="1470" w:type="dxa"/>
            <w:tcBorders>
              <w:top w:val="single" w:sz="8" w:space="0" w:color="000000"/>
              <w:left w:val="single" w:sz="8" w:space="0" w:color="000000"/>
              <w:bottom w:val="single" w:sz="8" w:space="0" w:color="000000"/>
            </w:tcBorders>
          </w:tcPr>
          <w:p>
            <w:pPr>
              <w:pStyle w:val="TableParagraph"/>
              <w:spacing w:before="27"/>
              <w:ind w:left="47" w:right="5"/>
              <w:rPr>
                <w:sz w:val="20"/>
              </w:rPr>
            </w:pPr>
            <w:r>
              <w:rPr>
                <w:spacing w:val="-5"/>
                <w:sz w:val="20"/>
              </w:rPr>
              <w:t>24</w:t>
            </w:r>
          </w:p>
        </w:tc>
      </w:tr>
      <w:tr>
        <w:trPr>
          <w:trHeight w:val="320" w:hRule="atLeast"/>
        </w:trPr>
        <w:tc>
          <w:tcPr>
            <w:tcW w:w="3970" w:type="dxa"/>
            <w:tcBorders>
              <w:top w:val="single" w:sz="8" w:space="0" w:color="000000"/>
              <w:bottom w:val="single" w:sz="8" w:space="0" w:color="000000"/>
              <w:right w:val="single" w:sz="8" w:space="0" w:color="000000"/>
            </w:tcBorders>
          </w:tcPr>
          <w:p>
            <w:pPr>
              <w:pStyle w:val="TableParagraph"/>
              <w:spacing w:before="42"/>
              <w:ind w:left="83"/>
              <w:jc w:val="left"/>
              <w:rPr>
                <w:sz w:val="18"/>
              </w:rPr>
            </w:pPr>
            <w:r>
              <w:rPr>
                <w:sz w:val="18"/>
              </w:rPr>
              <w:t>Onboarding</w:t>
            </w:r>
            <w:r>
              <w:rPr>
                <w:spacing w:val="-1"/>
                <w:sz w:val="18"/>
              </w:rPr>
              <w:t> </w:t>
            </w:r>
            <w:r>
              <w:rPr>
                <w:spacing w:val="-2"/>
                <w:sz w:val="18"/>
              </w:rPr>
              <w:t>Session</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spacing w:before="23"/>
              <w:ind w:left="40"/>
              <w:rPr>
                <w:rFonts w:ascii="MS PGothic" w:hAnsi="MS PGothic"/>
                <w:sz w:val="20"/>
              </w:rPr>
            </w:pPr>
            <w:r>
              <w:rPr>
                <w:rFonts w:ascii="MS PGothic" w:hAnsi="MS PGothic"/>
                <w:spacing w:val="-10"/>
                <w:sz w:val="20"/>
              </w:rPr>
              <w:t>✔</w:t>
            </w:r>
          </w:p>
        </w:tc>
        <w:tc>
          <w:tcPr>
            <w:tcW w:w="1800" w:type="dxa"/>
            <w:tcBorders>
              <w:top w:val="single" w:sz="8" w:space="0" w:color="000000"/>
              <w:left w:val="single" w:sz="8" w:space="0" w:color="000000"/>
              <w:bottom w:val="single" w:sz="8" w:space="0" w:color="000000"/>
              <w:right w:val="single" w:sz="8" w:space="0" w:color="000000"/>
            </w:tcBorders>
          </w:tcPr>
          <w:p>
            <w:pPr>
              <w:pStyle w:val="TableParagraph"/>
              <w:spacing w:before="23"/>
              <w:ind w:left="25"/>
              <w:rPr>
                <w:rFonts w:ascii="MS PGothic" w:hAnsi="MS PGothic"/>
                <w:sz w:val="20"/>
              </w:rPr>
            </w:pPr>
            <w:r>
              <w:rPr>
                <w:rFonts w:ascii="MS PGothic" w:hAnsi="MS PGothic"/>
                <w:spacing w:val="-10"/>
                <w:sz w:val="20"/>
              </w:rPr>
              <w:t>✔</w:t>
            </w:r>
          </w:p>
        </w:tc>
        <w:tc>
          <w:tcPr>
            <w:tcW w:w="1780" w:type="dxa"/>
            <w:tcBorders>
              <w:top w:val="single" w:sz="8" w:space="0" w:color="000000"/>
              <w:left w:val="single" w:sz="8" w:space="0" w:color="000000"/>
              <w:bottom w:val="single" w:sz="8" w:space="0" w:color="000000"/>
              <w:right w:val="single" w:sz="8" w:space="0" w:color="000000"/>
            </w:tcBorders>
          </w:tcPr>
          <w:p>
            <w:pPr>
              <w:pStyle w:val="TableParagraph"/>
              <w:spacing w:before="23"/>
              <w:ind w:left="30"/>
              <w:rPr>
                <w:rFonts w:ascii="MS PGothic" w:hAnsi="MS PGothic"/>
                <w:sz w:val="20"/>
              </w:rPr>
            </w:pPr>
            <w:r>
              <w:rPr>
                <w:rFonts w:ascii="MS PGothic" w:hAnsi="MS PGothic"/>
                <w:spacing w:val="-10"/>
                <w:sz w:val="20"/>
              </w:rPr>
              <w:t>✔</w:t>
            </w:r>
          </w:p>
        </w:tc>
        <w:tc>
          <w:tcPr>
            <w:tcW w:w="1470" w:type="dxa"/>
            <w:tcBorders>
              <w:top w:val="single" w:sz="8" w:space="0" w:color="000000"/>
              <w:left w:val="single" w:sz="8" w:space="0" w:color="000000"/>
              <w:bottom w:val="single" w:sz="8" w:space="0" w:color="000000"/>
            </w:tcBorders>
          </w:tcPr>
          <w:p>
            <w:pPr>
              <w:pStyle w:val="TableParagraph"/>
              <w:spacing w:before="23"/>
              <w:ind w:left="47"/>
              <w:rPr>
                <w:rFonts w:ascii="MS PGothic" w:hAnsi="MS PGothic"/>
                <w:sz w:val="20"/>
              </w:rPr>
            </w:pPr>
            <w:r>
              <w:rPr>
                <w:rFonts w:ascii="MS PGothic" w:hAnsi="MS PGothic"/>
                <w:spacing w:val="-10"/>
                <w:sz w:val="20"/>
              </w:rPr>
              <w:t>✔</w:t>
            </w:r>
          </w:p>
        </w:tc>
      </w:tr>
      <w:tr>
        <w:trPr>
          <w:trHeight w:val="339" w:hRule="atLeast"/>
        </w:trPr>
        <w:tc>
          <w:tcPr>
            <w:tcW w:w="3970" w:type="dxa"/>
            <w:tcBorders>
              <w:top w:val="single" w:sz="8" w:space="0" w:color="000000"/>
              <w:bottom w:val="single" w:sz="8" w:space="0" w:color="000000"/>
              <w:right w:val="single" w:sz="8" w:space="0" w:color="000000"/>
            </w:tcBorders>
          </w:tcPr>
          <w:p>
            <w:pPr>
              <w:pStyle w:val="TableParagraph"/>
              <w:spacing w:before="47"/>
              <w:ind w:left="83"/>
              <w:jc w:val="left"/>
              <w:rPr>
                <w:sz w:val="18"/>
              </w:rPr>
            </w:pPr>
            <w:r>
              <w:rPr>
                <w:sz w:val="18"/>
              </w:rPr>
              <w:t>Online Case </w:t>
            </w:r>
            <w:r>
              <w:rPr>
                <w:spacing w:val="-2"/>
                <w:sz w:val="18"/>
              </w:rPr>
              <w:t>Management</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spacing w:before="28"/>
              <w:ind w:left="40"/>
              <w:rPr>
                <w:rFonts w:ascii="MS PGothic" w:hAnsi="MS PGothic"/>
                <w:sz w:val="20"/>
              </w:rPr>
            </w:pPr>
            <w:r>
              <w:rPr>
                <w:rFonts w:ascii="MS PGothic" w:hAnsi="MS PGothic"/>
                <w:spacing w:val="-10"/>
                <w:sz w:val="20"/>
              </w:rPr>
              <w:t>✔</w:t>
            </w:r>
          </w:p>
        </w:tc>
        <w:tc>
          <w:tcPr>
            <w:tcW w:w="1800" w:type="dxa"/>
            <w:tcBorders>
              <w:top w:val="single" w:sz="8" w:space="0" w:color="000000"/>
              <w:left w:val="single" w:sz="8" w:space="0" w:color="000000"/>
              <w:bottom w:val="single" w:sz="8" w:space="0" w:color="000000"/>
              <w:right w:val="single" w:sz="8" w:space="0" w:color="000000"/>
            </w:tcBorders>
          </w:tcPr>
          <w:p>
            <w:pPr>
              <w:pStyle w:val="TableParagraph"/>
              <w:spacing w:before="28"/>
              <w:ind w:left="25"/>
              <w:rPr>
                <w:rFonts w:ascii="MS PGothic" w:hAnsi="MS PGothic"/>
                <w:sz w:val="20"/>
              </w:rPr>
            </w:pPr>
            <w:r>
              <w:rPr>
                <w:rFonts w:ascii="MS PGothic" w:hAnsi="MS PGothic"/>
                <w:spacing w:val="-10"/>
                <w:sz w:val="20"/>
              </w:rPr>
              <w:t>✔</w:t>
            </w:r>
          </w:p>
        </w:tc>
        <w:tc>
          <w:tcPr>
            <w:tcW w:w="1780" w:type="dxa"/>
            <w:tcBorders>
              <w:top w:val="single" w:sz="8" w:space="0" w:color="000000"/>
              <w:left w:val="single" w:sz="8" w:space="0" w:color="000000"/>
              <w:bottom w:val="single" w:sz="8" w:space="0" w:color="000000"/>
              <w:right w:val="single" w:sz="8" w:space="0" w:color="000000"/>
            </w:tcBorders>
          </w:tcPr>
          <w:p>
            <w:pPr>
              <w:pStyle w:val="TableParagraph"/>
              <w:spacing w:before="28"/>
              <w:ind w:left="30"/>
              <w:rPr>
                <w:rFonts w:ascii="MS PGothic" w:hAnsi="MS PGothic"/>
                <w:sz w:val="20"/>
              </w:rPr>
            </w:pPr>
            <w:r>
              <w:rPr>
                <w:rFonts w:ascii="MS PGothic" w:hAnsi="MS PGothic"/>
                <w:spacing w:val="-10"/>
                <w:sz w:val="20"/>
              </w:rPr>
              <w:t>✔</w:t>
            </w:r>
          </w:p>
        </w:tc>
        <w:tc>
          <w:tcPr>
            <w:tcW w:w="1470" w:type="dxa"/>
            <w:tcBorders>
              <w:top w:val="single" w:sz="8" w:space="0" w:color="000000"/>
              <w:left w:val="single" w:sz="8" w:space="0" w:color="000000"/>
              <w:bottom w:val="single" w:sz="8" w:space="0" w:color="000000"/>
            </w:tcBorders>
          </w:tcPr>
          <w:p>
            <w:pPr>
              <w:pStyle w:val="TableParagraph"/>
              <w:spacing w:before="28"/>
              <w:ind w:left="47"/>
              <w:rPr>
                <w:rFonts w:ascii="MS PGothic" w:hAnsi="MS PGothic"/>
                <w:sz w:val="20"/>
              </w:rPr>
            </w:pPr>
            <w:r>
              <w:rPr>
                <w:rFonts w:ascii="MS PGothic" w:hAnsi="MS PGothic"/>
                <w:spacing w:val="-10"/>
                <w:sz w:val="20"/>
              </w:rPr>
              <w:t>✔</w:t>
            </w:r>
          </w:p>
        </w:tc>
      </w:tr>
      <w:tr>
        <w:trPr>
          <w:trHeight w:val="319" w:hRule="atLeast"/>
        </w:trPr>
        <w:tc>
          <w:tcPr>
            <w:tcW w:w="3970" w:type="dxa"/>
            <w:tcBorders>
              <w:top w:val="single" w:sz="8" w:space="0" w:color="000000"/>
              <w:bottom w:val="single" w:sz="8" w:space="0" w:color="000000"/>
              <w:right w:val="single" w:sz="8" w:space="0" w:color="000000"/>
            </w:tcBorders>
          </w:tcPr>
          <w:p>
            <w:pPr>
              <w:pStyle w:val="TableParagraph"/>
              <w:spacing w:before="32"/>
              <w:ind w:left="83"/>
              <w:jc w:val="left"/>
              <w:rPr>
                <w:sz w:val="18"/>
              </w:rPr>
            </w:pPr>
            <w:hyperlink r:id="rId6">
              <w:r>
                <w:rPr>
                  <w:color w:val="1154CC"/>
                  <w:sz w:val="18"/>
                  <w:u w:val="thick" w:color="1154CC"/>
                </w:rPr>
                <w:t>Appian </w:t>
              </w:r>
              <w:r>
                <w:rPr>
                  <w:color w:val="1154CC"/>
                  <w:spacing w:val="-2"/>
                  <w:sz w:val="18"/>
                  <w:u w:val="thick" w:color="1154CC"/>
                </w:rPr>
                <w:t>Community</w:t>
              </w:r>
            </w:hyperlink>
          </w:p>
        </w:tc>
        <w:tc>
          <w:tcPr>
            <w:tcW w:w="1860" w:type="dxa"/>
            <w:tcBorders>
              <w:top w:val="single" w:sz="8" w:space="0" w:color="000000"/>
              <w:left w:val="single" w:sz="8" w:space="0" w:color="000000"/>
              <w:bottom w:val="single" w:sz="8" w:space="0" w:color="000000"/>
              <w:right w:val="single" w:sz="8" w:space="0" w:color="000000"/>
            </w:tcBorders>
          </w:tcPr>
          <w:p>
            <w:pPr>
              <w:pStyle w:val="TableParagraph"/>
              <w:spacing w:before="13"/>
              <w:ind w:left="40"/>
              <w:rPr>
                <w:rFonts w:ascii="MS PGothic" w:hAnsi="MS PGothic"/>
                <w:sz w:val="20"/>
              </w:rPr>
            </w:pPr>
            <w:r>
              <w:rPr>
                <w:rFonts w:ascii="MS PGothic" w:hAnsi="MS PGothic"/>
                <w:spacing w:val="-10"/>
                <w:sz w:val="20"/>
              </w:rPr>
              <w:t>✔</w:t>
            </w:r>
          </w:p>
        </w:tc>
        <w:tc>
          <w:tcPr>
            <w:tcW w:w="1800" w:type="dxa"/>
            <w:tcBorders>
              <w:top w:val="single" w:sz="8" w:space="0" w:color="000000"/>
              <w:left w:val="single" w:sz="8" w:space="0" w:color="000000"/>
              <w:bottom w:val="single" w:sz="8" w:space="0" w:color="000000"/>
              <w:right w:val="single" w:sz="8" w:space="0" w:color="000000"/>
            </w:tcBorders>
          </w:tcPr>
          <w:p>
            <w:pPr>
              <w:pStyle w:val="TableParagraph"/>
              <w:spacing w:before="13"/>
              <w:ind w:left="25"/>
              <w:rPr>
                <w:rFonts w:ascii="MS PGothic" w:hAnsi="MS PGothic"/>
                <w:sz w:val="20"/>
              </w:rPr>
            </w:pPr>
            <w:r>
              <w:rPr>
                <w:rFonts w:ascii="MS PGothic" w:hAnsi="MS PGothic"/>
                <w:spacing w:val="-10"/>
                <w:sz w:val="20"/>
              </w:rPr>
              <w:t>✔</w:t>
            </w:r>
          </w:p>
        </w:tc>
        <w:tc>
          <w:tcPr>
            <w:tcW w:w="1780" w:type="dxa"/>
            <w:tcBorders>
              <w:top w:val="single" w:sz="8" w:space="0" w:color="000000"/>
              <w:left w:val="single" w:sz="8" w:space="0" w:color="000000"/>
              <w:bottom w:val="single" w:sz="8" w:space="0" w:color="000000"/>
              <w:right w:val="single" w:sz="8" w:space="0" w:color="000000"/>
            </w:tcBorders>
          </w:tcPr>
          <w:p>
            <w:pPr>
              <w:pStyle w:val="TableParagraph"/>
              <w:spacing w:before="13"/>
              <w:ind w:left="30"/>
              <w:rPr>
                <w:rFonts w:ascii="MS PGothic" w:hAnsi="MS PGothic"/>
                <w:sz w:val="20"/>
              </w:rPr>
            </w:pPr>
            <w:r>
              <w:rPr>
                <w:rFonts w:ascii="MS PGothic" w:hAnsi="MS PGothic"/>
                <w:spacing w:val="-10"/>
                <w:sz w:val="20"/>
              </w:rPr>
              <w:t>✔</w:t>
            </w:r>
          </w:p>
        </w:tc>
        <w:tc>
          <w:tcPr>
            <w:tcW w:w="1470" w:type="dxa"/>
            <w:tcBorders>
              <w:top w:val="single" w:sz="8" w:space="0" w:color="000000"/>
              <w:left w:val="single" w:sz="8" w:space="0" w:color="000000"/>
              <w:bottom w:val="single" w:sz="8" w:space="0" w:color="000000"/>
            </w:tcBorders>
          </w:tcPr>
          <w:p>
            <w:pPr>
              <w:pStyle w:val="TableParagraph"/>
              <w:spacing w:before="13"/>
              <w:ind w:left="47"/>
              <w:rPr>
                <w:rFonts w:ascii="MS PGothic" w:hAnsi="MS PGothic"/>
                <w:sz w:val="20"/>
              </w:rPr>
            </w:pPr>
            <w:r>
              <w:rPr>
                <w:rFonts w:ascii="MS PGothic" w:hAnsi="MS PGothic"/>
                <w:spacing w:val="-10"/>
                <w:sz w:val="20"/>
              </w:rPr>
              <w:t>✔</w:t>
            </w:r>
          </w:p>
        </w:tc>
      </w:tr>
      <w:tr>
        <w:trPr>
          <w:trHeight w:val="320" w:hRule="atLeast"/>
        </w:trPr>
        <w:tc>
          <w:tcPr>
            <w:tcW w:w="3970" w:type="dxa"/>
            <w:tcBorders>
              <w:top w:val="single" w:sz="8" w:space="0" w:color="000000"/>
              <w:bottom w:val="single" w:sz="8" w:space="0" w:color="000000"/>
              <w:right w:val="single" w:sz="8" w:space="0" w:color="000000"/>
            </w:tcBorders>
          </w:tcPr>
          <w:p>
            <w:pPr>
              <w:pStyle w:val="TableParagraph"/>
              <w:spacing w:before="37"/>
              <w:ind w:left="83"/>
              <w:jc w:val="left"/>
              <w:rPr>
                <w:sz w:val="18"/>
              </w:rPr>
            </w:pPr>
            <w:r>
              <w:rPr>
                <w:sz w:val="18"/>
              </w:rPr>
              <w:t>Phone </w:t>
            </w:r>
            <w:r>
              <w:rPr>
                <w:spacing w:val="-2"/>
                <w:sz w:val="18"/>
              </w:rPr>
              <w:t>Support</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bottom w:val="single" w:sz="8" w:space="0" w:color="000000"/>
              <w:right w:val="single" w:sz="8" w:space="0" w:color="000000"/>
            </w:tcBorders>
          </w:tcPr>
          <w:p>
            <w:pPr>
              <w:pStyle w:val="TableParagraph"/>
              <w:spacing w:before="18"/>
              <w:ind w:left="25"/>
              <w:rPr>
                <w:rFonts w:ascii="MS PGothic" w:hAnsi="MS PGothic"/>
                <w:sz w:val="20"/>
              </w:rPr>
            </w:pPr>
            <w:r>
              <w:rPr>
                <w:rFonts w:ascii="MS PGothic" w:hAnsi="MS PGothic"/>
                <w:spacing w:val="-10"/>
                <w:sz w:val="20"/>
              </w:rPr>
              <w:t>✔</w:t>
            </w:r>
          </w:p>
        </w:tc>
        <w:tc>
          <w:tcPr>
            <w:tcW w:w="1780" w:type="dxa"/>
            <w:tcBorders>
              <w:top w:val="single" w:sz="8" w:space="0" w:color="000000"/>
              <w:left w:val="single" w:sz="8" w:space="0" w:color="000000"/>
              <w:bottom w:val="single" w:sz="8" w:space="0" w:color="000000"/>
              <w:right w:val="single" w:sz="8" w:space="0" w:color="000000"/>
            </w:tcBorders>
          </w:tcPr>
          <w:p>
            <w:pPr>
              <w:pStyle w:val="TableParagraph"/>
              <w:spacing w:before="18"/>
              <w:ind w:left="30"/>
              <w:rPr>
                <w:rFonts w:ascii="MS PGothic" w:hAnsi="MS PGothic"/>
                <w:sz w:val="20"/>
              </w:rPr>
            </w:pPr>
            <w:r>
              <w:rPr>
                <w:rFonts w:ascii="MS PGothic" w:hAnsi="MS PGothic"/>
                <w:spacing w:val="-10"/>
                <w:sz w:val="20"/>
              </w:rPr>
              <w:t>✔</w:t>
            </w:r>
          </w:p>
        </w:tc>
        <w:tc>
          <w:tcPr>
            <w:tcW w:w="1470" w:type="dxa"/>
            <w:tcBorders>
              <w:top w:val="single" w:sz="8" w:space="0" w:color="000000"/>
              <w:left w:val="single" w:sz="8" w:space="0" w:color="000000"/>
              <w:bottom w:val="single" w:sz="8" w:space="0" w:color="000000"/>
            </w:tcBorders>
          </w:tcPr>
          <w:p>
            <w:pPr>
              <w:pStyle w:val="TableParagraph"/>
              <w:spacing w:before="18"/>
              <w:ind w:left="47"/>
              <w:rPr>
                <w:rFonts w:ascii="MS PGothic" w:hAnsi="MS PGothic"/>
                <w:sz w:val="20"/>
              </w:rPr>
            </w:pPr>
            <w:r>
              <w:rPr>
                <w:rFonts w:ascii="MS PGothic" w:hAnsi="MS PGothic"/>
                <w:spacing w:val="-10"/>
                <w:sz w:val="20"/>
              </w:rPr>
              <w:t>✔</w:t>
            </w:r>
          </w:p>
        </w:tc>
      </w:tr>
      <w:tr>
        <w:trPr>
          <w:trHeight w:val="319" w:hRule="atLeast"/>
        </w:trPr>
        <w:tc>
          <w:tcPr>
            <w:tcW w:w="3970" w:type="dxa"/>
            <w:tcBorders>
              <w:top w:val="single" w:sz="8" w:space="0" w:color="000000"/>
              <w:bottom w:val="single" w:sz="8" w:space="0" w:color="000000"/>
              <w:right w:val="single" w:sz="8" w:space="0" w:color="000000"/>
            </w:tcBorders>
          </w:tcPr>
          <w:p>
            <w:pPr>
              <w:pStyle w:val="TableParagraph"/>
              <w:spacing w:before="42"/>
              <w:ind w:left="83"/>
              <w:jc w:val="left"/>
              <w:rPr>
                <w:sz w:val="18"/>
              </w:rPr>
            </w:pPr>
            <w:r>
              <w:rPr>
                <w:sz w:val="18"/>
              </w:rPr>
              <w:t>Lead Engineer </w:t>
            </w:r>
            <w:r>
              <w:rPr>
                <w:spacing w:val="-2"/>
                <w:sz w:val="18"/>
              </w:rPr>
              <w:t>Assigned</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78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470" w:type="dxa"/>
            <w:tcBorders>
              <w:top w:val="single" w:sz="8" w:space="0" w:color="000000"/>
              <w:left w:val="single" w:sz="8" w:space="0" w:color="000000"/>
              <w:bottom w:val="single" w:sz="8" w:space="0" w:color="000000"/>
            </w:tcBorders>
          </w:tcPr>
          <w:p>
            <w:pPr>
              <w:pStyle w:val="TableParagraph"/>
              <w:spacing w:before="23"/>
              <w:ind w:left="47"/>
              <w:rPr>
                <w:rFonts w:ascii="MS PGothic" w:hAnsi="MS PGothic"/>
                <w:sz w:val="20"/>
              </w:rPr>
            </w:pPr>
            <w:r>
              <w:rPr>
                <w:rFonts w:ascii="MS PGothic" w:hAnsi="MS PGothic"/>
                <w:spacing w:val="-10"/>
                <w:sz w:val="20"/>
              </w:rPr>
              <w:t>✔</w:t>
            </w:r>
          </w:p>
        </w:tc>
      </w:tr>
      <w:tr>
        <w:trPr>
          <w:trHeight w:val="340" w:hRule="atLeast"/>
        </w:trPr>
        <w:tc>
          <w:tcPr>
            <w:tcW w:w="3970" w:type="dxa"/>
            <w:tcBorders>
              <w:top w:val="single" w:sz="8" w:space="0" w:color="000000"/>
              <w:bottom w:val="single" w:sz="8" w:space="0" w:color="000000"/>
              <w:right w:val="single" w:sz="8" w:space="0" w:color="000000"/>
            </w:tcBorders>
          </w:tcPr>
          <w:p>
            <w:pPr>
              <w:pStyle w:val="TableParagraph"/>
              <w:spacing w:before="47"/>
              <w:ind w:left="83"/>
              <w:jc w:val="left"/>
              <w:rPr>
                <w:sz w:val="18"/>
              </w:rPr>
            </w:pPr>
            <w:r>
              <w:rPr>
                <w:sz w:val="18"/>
              </w:rPr>
              <w:t>Monthly Health Check </w:t>
            </w:r>
            <w:r>
              <w:rPr>
                <w:spacing w:val="-2"/>
                <w:sz w:val="18"/>
              </w:rPr>
              <w:t>Reviews</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78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470" w:type="dxa"/>
            <w:tcBorders>
              <w:top w:val="single" w:sz="8" w:space="0" w:color="000000"/>
              <w:left w:val="single" w:sz="8" w:space="0" w:color="000000"/>
              <w:bottom w:val="single" w:sz="8" w:space="0" w:color="000000"/>
            </w:tcBorders>
          </w:tcPr>
          <w:p>
            <w:pPr>
              <w:pStyle w:val="TableParagraph"/>
              <w:spacing w:before="28"/>
              <w:ind w:left="47"/>
              <w:rPr>
                <w:rFonts w:ascii="MS PGothic" w:hAnsi="MS PGothic"/>
                <w:sz w:val="20"/>
              </w:rPr>
            </w:pPr>
            <w:r>
              <w:rPr>
                <w:rFonts w:ascii="MS PGothic" w:hAnsi="MS PGothic"/>
                <w:spacing w:val="-10"/>
                <w:sz w:val="20"/>
              </w:rPr>
              <w:t>✔</w:t>
            </w:r>
          </w:p>
        </w:tc>
      </w:tr>
      <w:tr>
        <w:trPr>
          <w:trHeight w:val="317" w:hRule="atLeast"/>
        </w:trPr>
        <w:tc>
          <w:tcPr>
            <w:tcW w:w="3970" w:type="dxa"/>
            <w:tcBorders>
              <w:top w:val="single" w:sz="8" w:space="0" w:color="000000"/>
              <w:right w:val="single" w:sz="8" w:space="0" w:color="000000"/>
            </w:tcBorders>
          </w:tcPr>
          <w:p>
            <w:pPr>
              <w:pStyle w:val="TableParagraph"/>
              <w:spacing w:before="32"/>
              <w:ind w:left="83"/>
              <w:jc w:val="left"/>
              <w:rPr>
                <w:sz w:val="18"/>
              </w:rPr>
            </w:pPr>
            <w:r>
              <w:rPr>
                <w:sz w:val="18"/>
              </w:rPr>
              <w:t>Annual</w:t>
            </w:r>
            <w:r>
              <w:rPr>
                <w:spacing w:val="-4"/>
                <w:sz w:val="18"/>
              </w:rPr>
              <w:t> </w:t>
            </w:r>
            <w:r>
              <w:rPr>
                <w:sz w:val="18"/>
              </w:rPr>
              <w:t>Corporate</w:t>
            </w:r>
            <w:r>
              <w:rPr>
                <w:spacing w:val="-2"/>
                <w:sz w:val="18"/>
              </w:rPr>
              <w:t> Visit</w:t>
            </w:r>
          </w:p>
        </w:tc>
        <w:tc>
          <w:tcPr>
            <w:tcW w:w="1860" w:type="dxa"/>
            <w:tcBorders>
              <w:top w:val="single" w:sz="8" w:space="0" w:color="000000"/>
              <w:left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right w:val="single" w:sz="8" w:space="0" w:color="000000"/>
            </w:tcBorders>
          </w:tcPr>
          <w:p>
            <w:pPr>
              <w:pStyle w:val="TableParagraph"/>
              <w:jc w:val="left"/>
              <w:rPr>
                <w:rFonts w:ascii="Times New Roman"/>
                <w:sz w:val="18"/>
              </w:rPr>
            </w:pPr>
          </w:p>
        </w:tc>
        <w:tc>
          <w:tcPr>
            <w:tcW w:w="1780" w:type="dxa"/>
            <w:tcBorders>
              <w:top w:val="single" w:sz="8" w:space="0" w:color="000000"/>
              <w:left w:val="single" w:sz="8" w:space="0" w:color="000000"/>
              <w:right w:val="single" w:sz="8" w:space="0" w:color="000000"/>
            </w:tcBorders>
          </w:tcPr>
          <w:p>
            <w:pPr>
              <w:pStyle w:val="TableParagraph"/>
              <w:jc w:val="left"/>
              <w:rPr>
                <w:rFonts w:ascii="Times New Roman"/>
                <w:sz w:val="18"/>
              </w:rPr>
            </w:pPr>
          </w:p>
        </w:tc>
        <w:tc>
          <w:tcPr>
            <w:tcW w:w="1470" w:type="dxa"/>
            <w:tcBorders>
              <w:top w:val="single" w:sz="8" w:space="0" w:color="000000"/>
              <w:left w:val="single" w:sz="8" w:space="0" w:color="000000"/>
            </w:tcBorders>
          </w:tcPr>
          <w:p>
            <w:pPr>
              <w:pStyle w:val="TableParagraph"/>
              <w:spacing w:before="13"/>
              <w:ind w:left="47"/>
              <w:rPr>
                <w:rFonts w:ascii="MS PGothic" w:hAnsi="MS PGothic"/>
                <w:sz w:val="20"/>
              </w:rPr>
            </w:pPr>
            <w:r>
              <w:rPr>
                <w:rFonts w:ascii="MS PGothic" w:hAnsi="MS PGothic"/>
                <w:spacing w:val="-10"/>
                <w:sz w:val="20"/>
              </w:rPr>
              <w:t>✔</w:t>
            </w:r>
          </w:p>
        </w:tc>
      </w:tr>
      <w:tr>
        <w:trPr>
          <w:trHeight w:val="417" w:hRule="atLeast"/>
        </w:trPr>
        <w:tc>
          <w:tcPr>
            <w:tcW w:w="10880" w:type="dxa"/>
            <w:gridSpan w:val="5"/>
            <w:tcBorders>
              <w:bottom w:val="single" w:sz="8" w:space="0" w:color="D9D9D9"/>
            </w:tcBorders>
            <w:shd w:val="clear" w:color="auto" w:fill="EFEFEF"/>
          </w:tcPr>
          <w:p>
            <w:pPr>
              <w:pStyle w:val="TableParagraph"/>
              <w:spacing w:before="105"/>
              <w:ind w:left="102"/>
              <w:jc w:val="left"/>
              <w:rPr>
                <w:b/>
                <w:sz w:val="18"/>
              </w:rPr>
            </w:pPr>
            <w:r>
              <w:rPr>
                <w:b/>
                <w:sz w:val="18"/>
              </w:rPr>
              <w:t>APPIAN CLOUD </w:t>
            </w:r>
            <w:r>
              <w:rPr>
                <w:b/>
                <w:spacing w:val="-2"/>
                <w:sz w:val="18"/>
              </w:rPr>
              <w:t>CAPABILITIES</w:t>
            </w:r>
          </w:p>
        </w:tc>
      </w:tr>
      <w:tr>
        <w:trPr>
          <w:trHeight w:val="319" w:hRule="atLeast"/>
        </w:trPr>
        <w:tc>
          <w:tcPr>
            <w:tcW w:w="3970" w:type="dxa"/>
            <w:tcBorders>
              <w:top w:val="single" w:sz="8" w:space="0" w:color="D9D9D9"/>
              <w:bottom w:val="single" w:sz="8" w:space="0" w:color="000000"/>
              <w:right w:val="single" w:sz="8" w:space="0" w:color="000000"/>
            </w:tcBorders>
          </w:tcPr>
          <w:p>
            <w:pPr>
              <w:pStyle w:val="TableParagraph"/>
              <w:spacing w:before="27"/>
              <w:ind w:left="83"/>
              <w:jc w:val="left"/>
              <w:rPr>
                <w:sz w:val="18"/>
              </w:rPr>
            </w:pPr>
            <w:r>
              <w:rPr>
                <w:sz w:val="18"/>
              </w:rPr>
              <w:t>Availability</w:t>
            </w:r>
            <w:r>
              <w:rPr>
                <w:spacing w:val="-9"/>
                <w:sz w:val="18"/>
              </w:rPr>
              <w:t> </w:t>
            </w:r>
            <w:r>
              <w:rPr>
                <w:spacing w:val="-2"/>
                <w:sz w:val="18"/>
              </w:rPr>
              <w:t>Minimum</w:t>
            </w:r>
          </w:p>
        </w:tc>
        <w:tc>
          <w:tcPr>
            <w:tcW w:w="1860" w:type="dxa"/>
            <w:tcBorders>
              <w:top w:val="single" w:sz="8" w:space="0" w:color="D9D9D9"/>
              <w:left w:val="single" w:sz="8" w:space="0" w:color="000000"/>
              <w:bottom w:val="single" w:sz="8" w:space="0" w:color="000000"/>
              <w:right w:val="single" w:sz="8" w:space="0" w:color="000000"/>
            </w:tcBorders>
          </w:tcPr>
          <w:p>
            <w:pPr>
              <w:pStyle w:val="TableParagraph"/>
              <w:spacing w:before="27"/>
              <w:ind w:left="40" w:right="5"/>
              <w:rPr>
                <w:sz w:val="18"/>
              </w:rPr>
            </w:pPr>
            <w:r>
              <w:rPr>
                <w:spacing w:val="-2"/>
                <w:sz w:val="18"/>
              </w:rPr>
              <w:t>99.80%</w:t>
            </w:r>
          </w:p>
        </w:tc>
        <w:tc>
          <w:tcPr>
            <w:tcW w:w="1800" w:type="dxa"/>
            <w:tcBorders>
              <w:top w:val="single" w:sz="8" w:space="0" w:color="D9D9D9"/>
              <w:left w:val="single" w:sz="8" w:space="0" w:color="000000"/>
              <w:bottom w:val="single" w:sz="8" w:space="0" w:color="000000"/>
              <w:right w:val="single" w:sz="8" w:space="0" w:color="000000"/>
            </w:tcBorders>
          </w:tcPr>
          <w:p>
            <w:pPr>
              <w:pStyle w:val="TableParagraph"/>
              <w:spacing w:before="27"/>
              <w:ind w:left="25" w:right="5"/>
              <w:rPr>
                <w:sz w:val="18"/>
              </w:rPr>
            </w:pPr>
            <w:r>
              <w:rPr>
                <w:spacing w:val="-2"/>
                <w:sz w:val="18"/>
              </w:rPr>
              <w:t>99.80%</w:t>
            </w:r>
          </w:p>
        </w:tc>
        <w:tc>
          <w:tcPr>
            <w:tcW w:w="1780" w:type="dxa"/>
            <w:tcBorders>
              <w:top w:val="single" w:sz="8" w:space="0" w:color="D9D9D9"/>
              <w:left w:val="single" w:sz="8" w:space="0" w:color="000000"/>
              <w:bottom w:val="single" w:sz="8" w:space="0" w:color="000000"/>
              <w:right w:val="single" w:sz="8" w:space="0" w:color="000000"/>
            </w:tcBorders>
          </w:tcPr>
          <w:p>
            <w:pPr>
              <w:pStyle w:val="TableParagraph"/>
              <w:spacing w:before="27"/>
              <w:ind w:left="30" w:right="5"/>
              <w:rPr>
                <w:sz w:val="18"/>
              </w:rPr>
            </w:pPr>
            <w:r>
              <w:rPr>
                <w:spacing w:val="-2"/>
                <w:sz w:val="18"/>
              </w:rPr>
              <w:t>99.95%</w:t>
            </w:r>
          </w:p>
        </w:tc>
        <w:tc>
          <w:tcPr>
            <w:tcW w:w="1470" w:type="dxa"/>
            <w:tcBorders>
              <w:top w:val="single" w:sz="8" w:space="0" w:color="D9D9D9"/>
              <w:left w:val="single" w:sz="8" w:space="0" w:color="000000"/>
              <w:bottom w:val="single" w:sz="8" w:space="0" w:color="000000"/>
            </w:tcBorders>
          </w:tcPr>
          <w:p>
            <w:pPr>
              <w:pStyle w:val="TableParagraph"/>
              <w:spacing w:before="27"/>
              <w:ind w:left="47" w:right="5"/>
              <w:rPr>
                <w:sz w:val="18"/>
              </w:rPr>
            </w:pPr>
            <w:r>
              <w:rPr>
                <w:spacing w:val="-2"/>
                <w:sz w:val="18"/>
              </w:rPr>
              <w:t>99.99%</w:t>
            </w:r>
          </w:p>
        </w:tc>
      </w:tr>
      <w:tr>
        <w:trPr>
          <w:trHeight w:val="300" w:hRule="atLeast"/>
        </w:trPr>
        <w:tc>
          <w:tcPr>
            <w:tcW w:w="3970" w:type="dxa"/>
            <w:tcBorders>
              <w:top w:val="single" w:sz="8" w:space="0" w:color="000000"/>
              <w:bottom w:val="single" w:sz="8" w:space="0" w:color="000000"/>
              <w:right w:val="single" w:sz="8" w:space="0" w:color="000000"/>
            </w:tcBorders>
          </w:tcPr>
          <w:p>
            <w:pPr>
              <w:pStyle w:val="TableParagraph"/>
              <w:spacing w:before="17"/>
              <w:ind w:left="83"/>
              <w:jc w:val="left"/>
              <w:rPr>
                <w:sz w:val="18"/>
              </w:rPr>
            </w:pPr>
            <w:hyperlink r:id="rId7">
              <w:r>
                <w:rPr>
                  <w:color w:val="1154CC"/>
                  <w:sz w:val="18"/>
                  <w:u w:val="thick" w:color="1154CC"/>
                </w:rPr>
                <w:t>Pre-Release</w:t>
              </w:r>
              <w:r>
                <w:rPr>
                  <w:color w:val="1154CC"/>
                  <w:spacing w:val="-12"/>
                  <w:sz w:val="18"/>
                  <w:u w:val="thick" w:color="1154CC"/>
                </w:rPr>
                <w:t> </w:t>
              </w:r>
              <w:r>
                <w:rPr>
                  <w:color w:val="1154CC"/>
                  <w:sz w:val="18"/>
                  <w:u w:val="thick" w:color="1154CC"/>
                </w:rPr>
                <w:t>Testing</w:t>
              </w:r>
              <w:r>
                <w:rPr>
                  <w:color w:val="1154CC"/>
                  <w:spacing w:val="-12"/>
                  <w:sz w:val="18"/>
                  <w:u w:val="thick" w:color="1154CC"/>
                </w:rPr>
                <w:t> </w:t>
              </w:r>
              <w:r>
                <w:rPr>
                  <w:color w:val="1154CC"/>
                  <w:spacing w:val="-2"/>
                  <w:sz w:val="18"/>
                  <w:u w:val="thick" w:color="1154CC"/>
                </w:rPr>
                <w:t>Program</w:t>
              </w:r>
            </w:hyperlink>
            <w:r>
              <w:rPr>
                <w:spacing w:val="-2"/>
                <w:sz w:val="18"/>
                <w:u w:val="none"/>
              </w:rPr>
              <w:t>*</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spacing w:before="14"/>
              <w:ind w:left="40" w:right="5"/>
              <w:rPr>
                <w:rFonts w:ascii="MS PGothic" w:hAnsi="MS PGothic"/>
                <w:sz w:val="18"/>
              </w:rPr>
            </w:pPr>
            <w:r>
              <w:rPr>
                <w:rFonts w:ascii="MS PGothic" w:hAnsi="MS PGothic"/>
                <w:spacing w:val="-10"/>
                <w:sz w:val="18"/>
              </w:rPr>
              <w:t>✔</w:t>
            </w:r>
          </w:p>
        </w:tc>
        <w:tc>
          <w:tcPr>
            <w:tcW w:w="1800" w:type="dxa"/>
            <w:tcBorders>
              <w:top w:val="single" w:sz="8" w:space="0" w:color="000000"/>
              <w:left w:val="single" w:sz="8" w:space="0" w:color="000000"/>
              <w:bottom w:val="single" w:sz="8" w:space="0" w:color="000000"/>
              <w:right w:val="single" w:sz="8" w:space="0" w:color="000000"/>
            </w:tcBorders>
          </w:tcPr>
          <w:p>
            <w:pPr>
              <w:pStyle w:val="TableParagraph"/>
              <w:spacing w:before="14"/>
              <w:ind w:left="25" w:right="5"/>
              <w:rPr>
                <w:rFonts w:ascii="MS PGothic" w:hAnsi="MS PGothic"/>
                <w:sz w:val="18"/>
              </w:rPr>
            </w:pPr>
            <w:r>
              <w:rPr>
                <w:rFonts w:ascii="MS PGothic" w:hAnsi="MS PGothic"/>
                <w:spacing w:val="-10"/>
                <w:sz w:val="18"/>
              </w:rPr>
              <w:t>✔</w:t>
            </w:r>
          </w:p>
        </w:tc>
        <w:tc>
          <w:tcPr>
            <w:tcW w:w="1780" w:type="dxa"/>
            <w:tcBorders>
              <w:top w:val="single" w:sz="8" w:space="0" w:color="000000"/>
              <w:left w:val="single" w:sz="8" w:space="0" w:color="000000"/>
              <w:bottom w:val="single" w:sz="8" w:space="0" w:color="000000"/>
              <w:right w:val="single" w:sz="8" w:space="0" w:color="000000"/>
            </w:tcBorders>
          </w:tcPr>
          <w:p>
            <w:pPr>
              <w:pStyle w:val="TableParagraph"/>
              <w:spacing w:before="14"/>
              <w:ind w:left="30" w:right="5"/>
              <w:rPr>
                <w:rFonts w:ascii="MS PGothic" w:hAnsi="MS PGothic"/>
                <w:sz w:val="18"/>
              </w:rPr>
            </w:pPr>
            <w:r>
              <w:rPr>
                <w:rFonts w:ascii="MS PGothic" w:hAnsi="MS PGothic"/>
                <w:spacing w:val="-10"/>
                <w:sz w:val="18"/>
              </w:rPr>
              <w:t>✔</w:t>
            </w:r>
          </w:p>
        </w:tc>
        <w:tc>
          <w:tcPr>
            <w:tcW w:w="1470" w:type="dxa"/>
            <w:tcBorders>
              <w:top w:val="single" w:sz="8" w:space="0" w:color="000000"/>
              <w:left w:val="single" w:sz="8" w:space="0" w:color="000000"/>
              <w:bottom w:val="single" w:sz="8" w:space="0" w:color="000000"/>
            </w:tcBorders>
          </w:tcPr>
          <w:p>
            <w:pPr>
              <w:pStyle w:val="TableParagraph"/>
              <w:spacing w:before="14"/>
              <w:ind w:left="47" w:right="5"/>
              <w:rPr>
                <w:rFonts w:ascii="MS PGothic" w:hAnsi="MS PGothic"/>
                <w:sz w:val="18"/>
              </w:rPr>
            </w:pPr>
            <w:r>
              <w:rPr>
                <w:rFonts w:ascii="MS PGothic" w:hAnsi="MS PGothic"/>
                <w:spacing w:val="-10"/>
                <w:sz w:val="18"/>
              </w:rPr>
              <w:t>✔</w:t>
            </w:r>
          </w:p>
        </w:tc>
      </w:tr>
      <w:tr>
        <w:trPr>
          <w:trHeight w:val="319" w:hRule="atLeast"/>
        </w:trPr>
        <w:tc>
          <w:tcPr>
            <w:tcW w:w="3970" w:type="dxa"/>
            <w:tcBorders>
              <w:top w:val="single" w:sz="8" w:space="0" w:color="000000"/>
              <w:bottom w:val="single" w:sz="8" w:space="0" w:color="000000"/>
              <w:right w:val="single" w:sz="8" w:space="0" w:color="000000"/>
            </w:tcBorders>
          </w:tcPr>
          <w:p>
            <w:pPr>
              <w:pStyle w:val="TableParagraph"/>
              <w:spacing w:before="27"/>
              <w:ind w:left="83"/>
              <w:jc w:val="left"/>
              <w:rPr>
                <w:sz w:val="18"/>
              </w:rPr>
            </w:pPr>
            <w:hyperlink r:id="rId8">
              <w:r>
                <w:rPr>
                  <w:color w:val="1154CC"/>
                  <w:sz w:val="18"/>
                  <w:u w:val="thick" w:color="1154CC"/>
                </w:rPr>
                <w:t>Appian Cloud </w:t>
              </w:r>
              <w:r>
                <w:rPr>
                  <w:color w:val="1154CC"/>
                  <w:spacing w:val="-2"/>
                  <w:sz w:val="18"/>
                  <w:u w:val="thick" w:color="1154CC"/>
                </w:rPr>
                <w:t>Insights</w:t>
              </w:r>
            </w:hyperlink>
            <w:r>
              <w:rPr>
                <w:spacing w:val="-2"/>
                <w:sz w:val="18"/>
                <w:u w:val="none"/>
              </w:rPr>
              <w:t>*</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spacing w:before="24"/>
              <w:ind w:left="40" w:right="5"/>
              <w:rPr>
                <w:rFonts w:ascii="MS PGothic" w:hAnsi="MS PGothic"/>
                <w:sz w:val="18"/>
              </w:rPr>
            </w:pPr>
            <w:r>
              <w:rPr>
                <w:rFonts w:ascii="MS PGothic" w:hAnsi="MS PGothic"/>
                <w:spacing w:val="-10"/>
                <w:sz w:val="18"/>
              </w:rPr>
              <w:t>✔</w:t>
            </w:r>
          </w:p>
        </w:tc>
        <w:tc>
          <w:tcPr>
            <w:tcW w:w="1800" w:type="dxa"/>
            <w:tcBorders>
              <w:top w:val="single" w:sz="8" w:space="0" w:color="000000"/>
              <w:left w:val="single" w:sz="8" w:space="0" w:color="000000"/>
              <w:bottom w:val="single" w:sz="8" w:space="0" w:color="000000"/>
              <w:right w:val="single" w:sz="8" w:space="0" w:color="000000"/>
            </w:tcBorders>
          </w:tcPr>
          <w:p>
            <w:pPr>
              <w:pStyle w:val="TableParagraph"/>
              <w:spacing w:before="24"/>
              <w:ind w:left="25" w:right="5"/>
              <w:rPr>
                <w:rFonts w:ascii="MS PGothic" w:hAnsi="MS PGothic"/>
                <w:sz w:val="18"/>
              </w:rPr>
            </w:pPr>
            <w:r>
              <w:rPr>
                <w:rFonts w:ascii="MS PGothic" w:hAnsi="MS PGothic"/>
                <w:spacing w:val="-10"/>
                <w:sz w:val="18"/>
              </w:rPr>
              <w:t>✔</w:t>
            </w:r>
          </w:p>
        </w:tc>
        <w:tc>
          <w:tcPr>
            <w:tcW w:w="1780" w:type="dxa"/>
            <w:tcBorders>
              <w:top w:val="single" w:sz="8" w:space="0" w:color="000000"/>
              <w:left w:val="single" w:sz="8" w:space="0" w:color="000000"/>
              <w:bottom w:val="single" w:sz="8" w:space="0" w:color="000000"/>
              <w:right w:val="single" w:sz="8" w:space="0" w:color="000000"/>
            </w:tcBorders>
          </w:tcPr>
          <w:p>
            <w:pPr>
              <w:pStyle w:val="TableParagraph"/>
              <w:spacing w:before="24"/>
              <w:ind w:left="30" w:right="5"/>
              <w:rPr>
                <w:rFonts w:ascii="MS PGothic" w:hAnsi="MS PGothic"/>
                <w:sz w:val="18"/>
              </w:rPr>
            </w:pPr>
            <w:r>
              <w:rPr>
                <w:rFonts w:ascii="MS PGothic" w:hAnsi="MS PGothic"/>
                <w:spacing w:val="-10"/>
                <w:sz w:val="18"/>
              </w:rPr>
              <w:t>✔</w:t>
            </w:r>
          </w:p>
        </w:tc>
        <w:tc>
          <w:tcPr>
            <w:tcW w:w="1470" w:type="dxa"/>
            <w:tcBorders>
              <w:top w:val="single" w:sz="8" w:space="0" w:color="000000"/>
              <w:left w:val="single" w:sz="8" w:space="0" w:color="000000"/>
              <w:bottom w:val="single" w:sz="8" w:space="0" w:color="000000"/>
            </w:tcBorders>
          </w:tcPr>
          <w:p>
            <w:pPr>
              <w:pStyle w:val="TableParagraph"/>
              <w:spacing w:before="24"/>
              <w:ind w:left="47" w:right="5"/>
              <w:rPr>
                <w:rFonts w:ascii="MS PGothic" w:hAnsi="MS PGothic"/>
                <w:sz w:val="18"/>
              </w:rPr>
            </w:pPr>
            <w:r>
              <w:rPr>
                <w:rFonts w:ascii="MS PGothic" w:hAnsi="MS PGothic"/>
                <w:spacing w:val="-10"/>
                <w:sz w:val="18"/>
              </w:rPr>
              <w:t>✔</w:t>
            </w:r>
          </w:p>
        </w:tc>
      </w:tr>
      <w:tr>
        <w:trPr>
          <w:trHeight w:val="300" w:hRule="atLeast"/>
        </w:trPr>
        <w:tc>
          <w:tcPr>
            <w:tcW w:w="3970" w:type="dxa"/>
            <w:tcBorders>
              <w:top w:val="single" w:sz="8" w:space="0" w:color="000000"/>
              <w:bottom w:val="single" w:sz="8" w:space="0" w:color="000000"/>
              <w:right w:val="single" w:sz="8" w:space="0" w:color="000000"/>
            </w:tcBorders>
          </w:tcPr>
          <w:p>
            <w:pPr>
              <w:pStyle w:val="TableParagraph"/>
              <w:spacing w:before="17"/>
              <w:ind w:left="83"/>
              <w:jc w:val="left"/>
              <w:rPr>
                <w:sz w:val="18"/>
              </w:rPr>
            </w:pPr>
            <w:r>
              <w:rPr>
                <w:sz w:val="18"/>
              </w:rPr>
              <w:t>Default</w:t>
            </w:r>
            <w:r>
              <w:rPr>
                <w:spacing w:val="-2"/>
                <w:sz w:val="18"/>
              </w:rPr>
              <w:t> </w:t>
            </w:r>
            <w:r>
              <w:rPr>
                <w:sz w:val="18"/>
              </w:rPr>
              <w:t>Instance</w:t>
            </w:r>
            <w:r>
              <w:rPr>
                <w:spacing w:val="-2"/>
                <w:sz w:val="18"/>
              </w:rPr>
              <w:t> </w:t>
            </w:r>
            <w:r>
              <w:rPr>
                <w:sz w:val="18"/>
              </w:rPr>
              <w:t>Size</w:t>
            </w:r>
            <w:r>
              <w:rPr>
                <w:spacing w:val="-1"/>
                <w:sz w:val="18"/>
              </w:rPr>
              <w:t> </w:t>
            </w:r>
            <w:r>
              <w:rPr>
                <w:sz w:val="18"/>
              </w:rPr>
              <w:t>(Non-</w:t>
            </w:r>
            <w:r>
              <w:rPr>
                <w:spacing w:val="-2"/>
                <w:sz w:val="18"/>
              </w:rPr>
              <w:t>Prod)</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spacing w:before="17"/>
              <w:ind w:left="40" w:right="5"/>
              <w:rPr>
                <w:sz w:val="18"/>
              </w:rPr>
            </w:pPr>
            <w:r>
              <w:rPr>
                <w:spacing w:val="-2"/>
                <w:sz w:val="18"/>
              </w:rPr>
              <w:t>Large</w:t>
            </w:r>
          </w:p>
        </w:tc>
        <w:tc>
          <w:tcPr>
            <w:tcW w:w="1800" w:type="dxa"/>
            <w:tcBorders>
              <w:top w:val="single" w:sz="8" w:space="0" w:color="000000"/>
              <w:left w:val="single" w:sz="8" w:space="0" w:color="000000"/>
              <w:bottom w:val="single" w:sz="8" w:space="0" w:color="000000"/>
              <w:right w:val="single" w:sz="8" w:space="0" w:color="000000"/>
            </w:tcBorders>
          </w:tcPr>
          <w:p>
            <w:pPr>
              <w:pStyle w:val="TableParagraph"/>
              <w:spacing w:before="17"/>
              <w:ind w:left="25" w:right="5"/>
              <w:rPr>
                <w:sz w:val="18"/>
              </w:rPr>
            </w:pPr>
            <w:r>
              <w:rPr>
                <w:spacing w:val="-2"/>
                <w:sz w:val="18"/>
              </w:rPr>
              <w:t>Large</w:t>
            </w:r>
          </w:p>
        </w:tc>
        <w:tc>
          <w:tcPr>
            <w:tcW w:w="1780" w:type="dxa"/>
            <w:tcBorders>
              <w:top w:val="single" w:sz="8" w:space="0" w:color="000000"/>
              <w:left w:val="single" w:sz="8" w:space="0" w:color="000000"/>
              <w:bottom w:val="single" w:sz="8" w:space="0" w:color="000000"/>
              <w:right w:val="single" w:sz="8" w:space="0" w:color="000000"/>
            </w:tcBorders>
          </w:tcPr>
          <w:p>
            <w:pPr>
              <w:pStyle w:val="TableParagraph"/>
              <w:spacing w:before="17"/>
              <w:ind w:left="30" w:right="5"/>
              <w:rPr>
                <w:sz w:val="18"/>
              </w:rPr>
            </w:pPr>
            <w:r>
              <w:rPr>
                <w:spacing w:val="-2"/>
                <w:sz w:val="18"/>
              </w:rPr>
              <w:t>Large</w:t>
            </w:r>
          </w:p>
        </w:tc>
        <w:tc>
          <w:tcPr>
            <w:tcW w:w="1470" w:type="dxa"/>
            <w:tcBorders>
              <w:top w:val="single" w:sz="8" w:space="0" w:color="000000"/>
              <w:left w:val="single" w:sz="8" w:space="0" w:color="000000"/>
              <w:bottom w:val="single" w:sz="8" w:space="0" w:color="000000"/>
            </w:tcBorders>
          </w:tcPr>
          <w:p>
            <w:pPr>
              <w:pStyle w:val="TableParagraph"/>
              <w:spacing w:before="17"/>
              <w:ind w:left="47" w:right="5"/>
              <w:rPr>
                <w:sz w:val="18"/>
              </w:rPr>
            </w:pPr>
            <w:r>
              <w:rPr>
                <w:spacing w:val="-2"/>
                <w:sz w:val="18"/>
              </w:rPr>
              <w:t>xLarge</w:t>
            </w:r>
          </w:p>
        </w:tc>
      </w:tr>
      <w:tr>
        <w:trPr>
          <w:trHeight w:val="319" w:hRule="atLeast"/>
        </w:trPr>
        <w:tc>
          <w:tcPr>
            <w:tcW w:w="3970" w:type="dxa"/>
            <w:tcBorders>
              <w:top w:val="single" w:sz="8" w:space="0" w:color="000000"/>
              <w:bottom w:val="single" w:sz="8" w:space="0" w:color="000000"/>
              <w:right w:val="single" w:sz="8" w:space="0" w:color="000000"/>
            </w:tcBorders>
          </w:tcPr>
          <w:p>
            <w:pPr>
              <w:pStyle w:val="TableParagraph"/>
              <w:spacing w:before="27"/>
              <w:ind w:left="83"/>
              <w:jc w:val="left"/>
              <w:rPr>
                <w:sz w:val="18"/>
              </w:rPr>
            </w:pPr>
            <w:r>
              <w:rPr>
                <w:sz w:val="18"/>
              </w:rPr>
              <w:t>High</w:t>
            </w:r>
            <w:r>
              <w:rPr>
                <w:spacing w:val="-4"/>
                <w:sz w:val="18"/>
              </w:rPr>
              <w:t> </w:t>
            </w:r>
            <w:r>
              <w:rPr>
                <w:sz w:val="18"/>
              </w:rPr>
              <w:t>Availability</w:t>
            </w:r>
            <w:r>
              <w:rPr>
                <w:spacing w:val="-4"/>
                <w:sz w:val="18"/>
              </w:rPr>
              <w:t> </w:t>
            </w:r>
            <w:r>
              <w:rPr>
                <w:sz w:val="18"/>
              </w:rPr>
              <w:t>for</w:t>
            </w:r>
            <w:r>
              <w:rPr>
                <w:spacing w:val="-3"/>
                <w:sz w:val="18"/>
              </w:rPr>
              <w:t> </w:t>
            </w:r>
            <w:r>
              <w:rPr>
                <w:spacing w:val="-2"/>
                <w:sz w:val="18"/>
              </w:rPr>
              <w:t>Production</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780" w:type="dxa"/>
            <w:tcBorders>
              <w:top w:val="single" w:sz="8" w:space="0" w:color="000000"/>
              <w:left w:val="single" w:sz="8" w:space="0" w:color="000000"/>
              <w:bottom w:val="single" w:sz="8" w:space="0" w:color="000000"/>
              <w:right w:val="single" w:sz="8" w:space="0" w:color="000000"/>
            </w:tcBorders>
          </w:tcPr>
          <w:p>
            <w:pPr>
              <w:pStyle w:val="TableParagraph"/>
              <w:spacing w:before="24"/>
              <w:ind w:left="30" w:right="5"/>
              <w:rPr>
                <w:rFonts w:ascii="MS PGothic" w:hAnsi="MS PGothic"/>
                <w:sz w:val="18"/>
              </w:rPr>
            </w:pPr>
            <w:r>
              <w:rPr>
                <w:rFonts w:ascii="MS PGothic" w:hAnsi="MS PGothic"/>
                <w:spacing w:val="-10"/>
                <w:sz w:val="18"/>
              </w:rPr>
              <w:t>✔</w:t>
            </w:r>
          </w:p>
        </w:tc>
        <w:tc>
          <w:tcPr>
            <w:tcW w:w="1470" w:type="dxa"/>
            <w:tcBorders>
              <w:top w:val="single" w:sz="8" w:space="0" w:color="000000"/>
              <w:left w:val="single" w:sz="8" w:space="0" w:color="000000"/>
              <w:bottom w:val="single" w:sz="8" w:space="0" w:color="000000"/>
            </w:tcBorders>
          </w:tcPr>
          <w:p>
            <w:pPr>
              <w:pStyle w:val="TableParagraph"/>
              <w:spacing w:before="24"/>
              <w:ind w:left="47" w:right="5"/>
              <w:rPr>
                <w:rFonts w:ascii="MS PGothic" w:hAnsi="MS PGothic"/>
                <w:sz w:val="18"/>
              </w:rPr>
            </w:pPr>
            <w:r>
              <w:rPr>
                <w:rFonts w:ascii="MS PGothic" w:hAnsi="MS PGothic"/>
                <w:spacing w:val="-10"/>
                <w:sz w:val="18"/>
              </w:rPr>
              <w:t>✔</w:t>
            </w:r>
          </w:p>
        </w:tc>
      </w:tr>
      <w:tr>
        <w:trPr>
          <w:trHeight w:val="300" w:hRule="atLeast"/>
        </w:trPr>
        <w:tc>
          <w:tcPr>
            <w:tcW w:w="3970" w:type="dxa"/>
            <w:tcBorders>
              <w:top w:val="single" w:sz="8" w:space="0" w:color="000000"/>
              <w:bottom w:val="single" w:sz="8" w:space="0" w:color="000000"/>
              <w:right w:val="single" w:sz="8" w:space="0" w:color="000000"/>
            </w:tcBorders>
          </w:tcPr>
          <w:p>
            <w:pPr>
              <w:pStyle w:val="TableParagraph"/>
              <w:spacing w:before="17"/>
              <w:ind w:left="83"/>
              <w:jc w:val="left"/>
              <w:rPr>
                <w:sz w:val="18"/>
              </w:rPr>
            </w:pPr>
            <w:hyperlink r:id="rId9">
              <w:r>
                <w:rPr>
                  <w:color w:val="1154CC"/>
                  <w:sz w:val="18"/>
                  <w:u w:val="thick" w:color="1154CC"/>
                </w:rPr>
                <w:t>Enhanced Data </w:t>
              </w:r>
              <w:r>
                <w:rPr>
                  <w:color w:val="1154CC"/>
                  <w:spacing w:val="-2"/>
                  <w:sz w:val="18"/>
                  <w:u w:val="thick" w:color="1154CC"/>
                </w:rPr>
                <w:t>Pipeline</w:t>
              </w:r>
            </w:hyperlink>
            <w:r>
              <w:rPr>
                <w:spacing w:val="-2"/>
                <w:sz w:val="18"/>
                <w:u w:val="none"/>
              </w:rPr>
              <w:t>*</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780" w:type="dxa"/>
            <w:tcBorders>
              <w:top w:val="single" w:sz="8" w:space="0" w:color="000000"/>
              <w:left w:val="single" w:sz="8" w:space="0" w:color="000000"/>
              <w:bottom w:val="single" w:sz="8" w:space="0" w:color="000000"/>
              <w:right w:val="single" w:sz="8" w:space="0" w:color="000000"/>
            </w:tcBorders>
          </w:tcPr>
          <w:p>
            <w:pPr>
              <w:pStyle w:val="TableParagraph"/>
              <w:spacing w:before="14"/>
              <w:ind w:left="30" w:right="5"/>
              <w:rPr>
                <w:rFonts w:ascii="MS PGothic" w:hAnsi="MS PGothic"/>
                <w:sz w:val="18"/>
              </w:rPr>
            </w:pPr>
            <w:r>
              <w:rPr>
                <w:rFonts w:ascii="MS PGothic" w:hAnsi="MS PGothic"/>
                <w:spacing w:val="-10"/>
                <w:sz w:val="18"/>
              </w:rPr>
              <w:t>✔</w:t>
            </w:r>
          </w:p>
        </w:tc>
        <w:tc>
          <w:tcPr>
            <w:tcW w:w="1470" w:type="dxa"/>
            <w:tcBorders>
              <w:top w:val="single" w:sz="8" w:space="0" w:color="000000"/>
              <w:left w:val="single" w:sz="8" w:space="0" w:color="000000"/>
              <w:bottom w:val="single" w:sz="8" w:space="0" w:color="000000"/>
            </w:tcBorders>
          </w:tcPr>
          <w:p>
            <w:pPr>
              <w:pStyle w:val="TableParagraph"/>
              <w:spacing w:before="14"/>
              <w:ind w:left="47" w:right="5"/>
              <w:rPr>
                <w:rFonts w:ascii="MS PGothic" w:hAnsi="MS PGothic"/>
                <w:sz w:val="18"/>
              </w:rPr>
            </w:pPr>
            <w:r>
              <w:rPr>
                <w:rFonts w:ascii="MS PGothic" w:hAnsi="MS PGothic"/>
                <w:spacing w:val="-10"/>
                <w:sz w:val="18"/>
              </w:rPr>
              <w:t>✔</w:t>
            </w:r>
          </w:p>
        </w:tc>
      </w:tr>
      <w:tr>
        <w:trPr>
          <w:trHeight w:val="319" w:hRule="atLeast"/>
        </w:trPr>
        <w:tc>
          <w:tcPr>
            <w:tcW w:w="3970" w:type="dxa"/>
            <w:tcBorders>
              <w:top w:val="single" w:sz="8" w:space="0" w:color="000000"/>
              <w:bottom w:val="single" w:sz="8" w:space="0" w:color="000000"/>
              <w:right w:val="single" w:sz="8" w:space="0" w:color="000000"/>
            </w:tcBorders>
          </w:tcPr>
          <w:p>
            <w:pPr>
              <w:pStyle w:val="TableParagraph"/>
              <w:spacing w:before="27"/>
              <w:ind w:left="83"/>
              <w:jc w:val="left"/>
              <w:rPr>
                <w:sz w:val="18"/>
              </w:rPr>
            </w:pPr>
            <w:hyperlink r:id="rId10">
              <w:r>
                <w:rPr>
                  <w:color w:val="1154CC"/>
                  <w:sz w:val="18"/>
                  <w:u w:val="thick" w:color="1154CC"/>
                </w:rPr>
                <w:t>Log</w:t>
              </w:r>
              <w:r>
                <w:rPr>
                  <w:color w:val="1154CC"/>
                  <w:spacing w:val="-2"/>
                  <w:sz w:val="18"/>
                  <w:u w:val="thick" w:color="1154CC"/>
                </w:rPr>
                <w:t> Streaming</w:t>
              </w:r>
            </w:hyperlink>
            <w:r>
              <w:rPr>
                <w:spacing w:val="-2"/>
                <w:sz w:val="18"/>
                <w:u w:val="none"/>
              </w:rPr>
              <w:t>*</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780" w:type="dxa"/>
            <w:tcBorders>
              <w:top w:val="single" w:sz="8" w:space="0" w:color="000000"/>
              <w:left w:val="single" w:sz="8" w:space="0" w:color="000000"/>
              <w:bottom w:val="single" w:sz="8" w:space="0" w:color="000000"/>
              <w:right w:val="single" w:sz="8" w:space="0" w:color="000000"/>
            </w:tcBorders>
          </w:tcPr>
          <w:p>
            <w:pPr>
              <w:pStyle w:val="TableParagraph"/>
              <w:spacing w:before="24"/>
              <w:ind w:left="30" w:right="5"/>
              <w:rPr>
                <w:rFonts w:ascii="MS PGothic" w:hAnsi="MS PGothic"/>
                <w:sz w:val="18"/>
              </w:rPr>
            </w:pPr>
            <w:r>
              <w:rPr>
                <w:rFonts w:ascii="MS PGothic" w:hAnsi="MS PGothic"/>
                <w:spacing w:val="-10"/>
                <w:sz w:val="18"/>
              </w:rPr>
              <w:t>✔</w:t>
            </w:r>
          </w:p>
        </w:tc>
        <w:tc>
          <w:tcPr>
            <w:tcW w:w="1470" w:type="dxa"/>
            <w:tcBorders>
              <w:top w:val="single" w:sz="8" w:space="0" w:color="000000"/>
              <w:left w:val="single" w:sz="8" w:space="0" w:color="000000"/>
              <w:bottom w:val="single" w:sz="8" w:space="0" w:color="000000"/>
            </w:tcBorders>
          </w:tcPr>
          <w:p>
            <w:pPr>
              <w:pStyle w:val="TableParagraph"/>
              <w:spacing w:before="24"/>
              <w:ind w:left="47" w:right="5"/>
              <w:rPr>
                <w:rFonts w:ascii="MS PGothic" w:hAnsi="MS PGothic"/>
                <w:sz w:val="18"/>
              </w:rPr>
            </w:pPr>
            <w:r>
              <w:rPr>
                <w:rFonts w:ascii="MS PGothic" w:hAnsi="MS PGothic"/>
                <w:spacing w:val="-10"/>
                <w:sz w:val="18"/>
              </w:rPr>
              <w:t>✔</w:t>
            </w:r>
          </w:p>
        </w:tc>
      </w:tr>
      <w:tr>
        <w:trPr>
          <w:trHeight w:val="300" w:hRule="atLeast"/>
        </w:trPr>
        <w:tc>
          <w:tcPr>
            <w:tcW w:w="3970" w:type="dxa"/>
            <w:tcBorders>
              <w:top w:val="single" w:sz="8" w:space="0" w:color="000000"/>
              <w:bottom w:val="single" w:sz="8" w:space="0" w:color="000000"/>
              <w:right w:val="single" w:sz="8" w:space="0" w:color="000000"/>
            </w:tcBorders>
          </w:tcPr>
          <w:p>
            <w:pPr>
              <w:pStyle w:val="TableParagraph"/>
              <w:spacing w:before="17"/>
              <w:ind w:left="83"/>
              <w:jc w:val="left"/>
              <w:rPr>
                <w:sz w:val="18"/>
              </w:rPr>
            </w:pPr>
            <w:hyperlink r:id="rId11">
              <w:r>
                <w:rPr>
                  <w:color w:val="1154CC"/>
                  <w:sz w:val="18"/>
                  <w:u w:val="thick" w:color="1154CC"/>
                </w:rPr>
                <w:t>Data</w:t>
              </w:r>
              <w:r>
                <w:rPr>
                  <w:color w:val="1154CC"/>
                  <w:spacing w:val="-2"/>
                  <w:sz w:val="18"/>
                  <w:u w:val="thick" w:color="1154CC"/>
                </w:rPr>
                <w:t> </w:t>
              </w:r>
              <w:r>
                <w:rPr>
                  <w:color w:val="1154CC"/>
                  <w:sz w:val="18"/>
                  <w:u w:val="thick" w:color="1154CC"/>
                </w:rPr>
                <w:t>At</w:t>
              </w:r>
              <w:r>
                <w:rPr>
                  <w:color w:val="1154CC"/>
                  <w:spacing w:val="-2"/>
                  <w:sz w:val="18"/>
                  <w:u w:val="thick" w:color="1154CC"/>
                </w:rPr>
                <w:t> </w:t>
              </w:r>
              <w:r>
                <w:rPr>
                  <w:color w:val="1154CC"/>
                  <w:sz w:val="18"/>
                  <w:u w:val="thick" w:color="1154CC"/>
                </w:rPr>
                <w:t>Rest</w:t>
              </w:r>
              <w:r>
                <w:rPr>
                  <w:color w:val="1154CC"/>
                  <w:spacing w:val="-2"/>
                  <w:sz w:val="18"/>
                  <w:u w:val="thick" w:color="1154CC"/>
                </w:rPr>
                <w:t> Encryption</w:t>
              </w:r>
            </w:hyperlink>
            <w:r>
              <w:rPr>
                <w:spacing w:val="-2"/>
                <w:sz w:val="18"/>
                <w:u w:val="none"/>
              </w:rPr>
              <w:t>*</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780" w:type="dxa"/>
            <w:tcBorders>
              <w:top w:val="single" w:sz="8" w:space="0" w:color="000000"/>
              <w:left w:val="single" w:sz="8" w:space="0" w:color="000000"/>
              <w:bottom w:val="single" w:sz="8" w:space="0" w:color="000000"/>
              <w:right w:val="single" w:sz="8" w:space="0" w:color="000000"/>
            </w:tcBorders>
          </w:tcPr>
          <w:p>
            <w:pPr>
              <w:pStyle w:val="TableParagraph"/>
              <w:spacing w:before="14"/>
              <w:ind w:left="30" w:right="5"/>
              <w:rPr>
                <w:rFonts w:ascii="MS PGothic" w:hAnsi="MS PGothic"/>
                <w:sz w:val="18"/>
              </w:rPr>
            </w:pPr>
            <w:r>
              <w:rPr>
                <w:rFonts w:ascii="MS PGothic" w:hAnsi="MS PGothic"/>
                <w:spacing w:val="-10"/>
                <w:sz w:val="18"/>
              </w:rPr>
              <w:t>✔</w:t>
            </w:r>
          </w:p>
        </w:tc>
        <w:tc>
          <w:tcPr>
            <w:tcW w:w="1470" w:type="dxa"/>
            <w:tcBorders>
              <w:top w:val="single" w:sz="8" w:space="0" w:color="000000"/>
              <w:left w:val="single" w:sz="8" w:space="0" w:color="000000"/>
              <w:bottom w:val="single" w:sz="8" w:space="0" w:color="000000"/>
            </w:tcBorders>
          </w:tcPr>
          <w:p>
            <w:pPr>
              <w:pStyle w:val="TableParagraph"/>
              <w:spacing w:before="14"/>
              <w:ind w:left="47" w:right="5"/>
              <w:rPr>
                <w:rFonts w:ascii="MS PGothic" w:hAnsi="MS PGothic"/>
                <w:sz w:val="18"/>
              </w:rPr>
            </w:pPr>
            <w:r>
              <w:rPr>
                <w:rFonts w:ascii="MS PGothic" w:hAnsi="MS PGothic"/>
                <w:spacing w:val="-10"/>
                <w:sz w:val="18"/>
              </w:rPr>
              <w:t>✔</w:t>
            </w:r>
          </w:p>
        </w:tc>
      </w:tr>
      <w:tr>
        <w:trPr>
          <w:trHeight w:val="320" w:hRule="atLeast"/>
        </w:trPr>
        <w:tc>
          <w:tcPr>
            <w:tcW w:w="3970" w:type="dxa"/>
            <w:tcBorders>
              <w:top w:val="single" w:sz="8" w:space="0" w:color="000000"/>
              <w:bottom w:val="single" w:sz="8" w:space="0" w:color="000000"/>
              <w:right w:val="single" w:sz="8" w:space="0" w:color="000000"/>
            </w:tcBorders>
          </w:tcPr>
          <w:p>
            <w:pPr>
              <w:pStyle w:val="TableParagraph"/>
              <w:spacing w:before="27"/>
              <w:ind w:left="83"/>
              <w:jc w:val="left"/>
              <w:rPr>
                <w:sz w:val="18"/>
              </w:rPr>
            </w:pPr>
            <w:hyperlink r:id="rId12">
              <w:r>
                <w:rPr>
                  <w:color w:val="1154CC"/>
                  <w:sz w:val="18"/>
                  <w:u w:val="thick" w:color="1154CC"/>
                </w:rPr>
                <w:t>Bring</w:t>
              </w:r>
              <w:r>
                <w:rPr>
                  <w:color w:val="1154CC"/>
                  <w:spacing w:val="-4"/>
                  <w:sz w:val="18"/>
                  <w:u w:val="thick" w:color="1154CC"/>
                </w:rPr>
                <w:t> </w:t>
              </w:r>
              <w:r>
                <w:rPr>
                  <w:color w:val="1154CC"/>
                  <w:sz w:val="18"/>
                  <w:u w:val="thick" w:color="1154CC"/>
                </w:rPr>
                <w:t>Your</w:t>
              </w:r>
              <w:r>
                <w:rPr>
                  <w:color w:val="1154CC"/>
                  <w:spacing w:val="-4"/>
                  <w:sz w:val="18"/>
                  <w:u w:val="thick" w:color="1154CC"/>
                </w:rPr>
                <w:t> </w:t>
              </w:r>
              <w:r>
                <w:rPr>
                  <w:color w:val="1154CC"/>
                  <w:sz w:val="18"/>
                  <w:u w:val="thick" w:color="1154CC"/>
                </w:rPr>
                <w:t>Own</w:t>
              </w:r>
              <w:r>
                <w:rPr>
                  <w:color w:val="1154CC"/>
                  <w:spacing w:val="-3"/>
                  <w:sz w:val="18"/>
                  <w:u w:val="thick" w:color="1154CC"/>
                </w:rPr>
                <w:t> </w:t>
              </w:r>
              <w:r>
                <w:rPr>
                  <w:color w:val="1154CC"/>
                  <w:spacing w:val="-4"/>
                  <w:sz w:val="18"/>
                  <w:u w:val="thick" w:color="1154CC"/>
                </w:rPr>
                <w:t>Key</w:t>
              </w:r>
            </w:hyperlink>
            <w:r>
              <w:rPr>
                <w:spacing w:val="-4"/>
                <w:sz w:val="18"/>
                <w:u w:val="none"/>
              </w:rPr>
              <w:t>*</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780" w:type="dxa"/>
            <w:tcBorders>
              <w:top w:val="single" w:sz="8" w:space="0" w:color="000000"/>
              <w:left w:val="single" w:sz="8" w:space="0" w:color="000000"/>
              <w:bottom w:val="single" w:sz="8" w:space="0" w:color="000000"/>
              <w:right w:val="single" w:sz="8" w:space="0" w:color="000000"/>
            </w:tcBorders>
          </w:tcPr>
          <w:p>
            <w:pPr>
              <w:pStyle w:val="TableParagraph"/>
              <w:spacing w:before="24"/>
              <w:ind w:left="30" w:right="5"/>
              <w:rPr>
                <w:rFonts w:ascii="MS PGothic" w:hAnsi="MS PGothic"/>
                <w:sz w:val="18"/>
              </w:rPr>
            </w:pPr>
            <w:r>
              <w:rPr>
                <w:rFonts w:ascii="MS PGothic" w:hAnsi="MS PGothic"/>
                <w:spacing w:val="-10"/>
                <w:sz w:val="18"/>
              </w:rPr>
              <w:t>✔</w:t>
            </w:r>
          </w:p>
        </w:tc>
        <w:tc>
          <w:tcPr>
            <w:tcW w:w="1470" w:type="dxa"/>
            <w:tcBorders>
              <w:top w:val="single" w:sz="8" w:space="0" w:color="000000"/>
              <w:left w:val="single" w:sz="8" w:space="0" w:color="000000"/>
              <w:bottom w:val="single" w:sz="8" w:space="0" w:color="000000"/>
            </w:tcBorders>
          </w:tcPr>
          <w:p>
            <w:pPr>
              <w:pStyle w:val="TableParagraph"/>
              <w:spacing w:before="24"/>
              <w:ind w:left="47" w:right="5"/>
              <w:rPr>
                <w:rFonts w:ascii="MS PGothic" w:hAnsi="MS PGothic"/>
                <w:sz w:val="18"/>
              </w:rPr>
            </w:pPr>
            <w:r>
              <w:rPr>
                <w:rFonts w:ascii="MS PGothic" w:hAnsi="MS PGothic"/>
                <w:spacing w:val="-10"/>
                <w:sz w:val="18"/>
              </w:rPr>
              <w:t>✔</w:t>
            </w:r>
          </w:p>
        </w:tc>
      </w:tr>
      <w:tr>
        <w:trPr>
          <w:trHeight w:val="299" w:hRule="atLeast"/>
        </w:trPr>
        <w:tc>
          <w:tcPr>
            <w:tcW w:w="3970" w:type="dxa"/>
            <w:tcBorders>
              <w:top w:val="single" w:sz="8" w:space="0" w:color="000000"/>
              <w:bottom w:val="single" w:sz="8" w:space="0" w:color="000000"/>
              <w:right w:val="single" w:sz="8" w:space="0" w:color="000000"/>
            </w:tcBorders>
          </w:tcPr>
          <w:p>
            <w:pPr>
              <w:pStyle w:val="TableParagraph"/>
              <w:spacing w:before="17"/>
              <w:ind w:left="83"/>
              <w:jc w:val="left"/>
              <w:rPr>
                <w:sz w:val="18"/>
              </w:rPr>
            </w:pPr>
            <w:r>
              <w:rPr>
                <w:sz w:val="18"/>
              </w:rPr>
              <w:t>Dedicated</w:t>
            </w:r>
            <w:r>
              <w:rPr>
                <w:spacing w:val="-1"/>
                <w:sz w:val="18"/>
              </w:rPr>
              <w:t> </w:t>
            </w:r>
            <w:r>
              <w:rPr>
                <w:sz w:val="18"/>
              </w:rPr>
              <w:t>Virtual</w:t>
            </w:r>
            <w:r>
              <w:rPr>
                <w:spacing w:val="-1"/>
                <w:sz w:val="18"/>
              </w:rPr>
              <w:t> </w:t>
            </w:r>
            <w:r>
              <w:rPr>
                <w:sz w:val="18"/>
              </w:rPr>
              <w:t>Private</w:t>
            </w:r>
            <w:r>
              <w:rPr>
                <w:spacing w:val="-1"/>
                <w:sz w:val="18"/>
              </w:rPr>
              <w:t> </w:t>
            </w:r>
            <w:r>
              <w:rPr>
                <w:sz w:val="18"/>
              </w:rPr>
              <w:t>Cloud</w:t>
            </w:r>
            <w:r>
              <w:rPr>
                <w:spacing w:val="-1"/>
                <w:sz w:val="18"/>
              </w:rPr>
              <w:t> </w:t>
            </w:r>
            <w:r>
              <w:rPr>
                <w:spacing w:val="-2"/>
                <w:sz w:val="18"/>
              </w:rPr>
              <w:t>(VPC)</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78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470" w:type="dxa"/>
            <w:tcBorders>
              <w:top w:val="single" w:sz="8" w:space="0" w:color="000000"/>
              <w:left w:val="single" w:sz="8" w:space="0" w:color="000000"/>
              <w:bottom w:val="single" w:sz="8" w:space="0" w:color="000000"/>
            </w:tcBorders>
          </w:tcPr>
          <w:p>
            <w:pPr>
              <w:pStyle w:val="TableParagraph"/>
              <w:spacing w:before="14"/>
              <w:ind w:left="47" w:right="5"/>
              <w:rPr>
                <w:rFonts w:ascii="MS PGothic" w:hAnsi="MS PGothic"/>
                <w:sz w:val="18"/>
              </w:rPr>
            </w:pPr>
            <w:r>
              <w:rPr>
                <w:rFonts w:ascii="MS PGothic" w:hAnsi="MS PGothic"/>
                <w:spacing w:val="-10"/>
                <w:sz w:val="18"/>
              </w:rPr>
              <w:t>✔</w:t>
            </w:r>
          </w:p>
        </w:tc>
      </w:tr>
      <w:tr>
        <w:trPr>
          <w:trHeight w:val="320" w:hRule="atLeast"/>
        </w:trPr>
        <w:tc>
          <w:tcPr>
            <w:tcW w:w="3970" w:type="dxa"/>
            <w:tcBorders>
              <w:top w:val="single" w:sz="8" w:space="0" w:color="000000"/>
              <w:bottom w:val="single" w:sz="8" w:space="0" w:color="000000"/>
              <w:right w:val="single" w:sz="8" w:space="0" w:color="000000"/>
            </w:tcBorders>
          </w:tcPr>
          <w:p>
            <w:pPr>
              <w:pStyle w:val="TableParagraph"/>
              <w:spacing w:before="27"/>
              <w:ind w:left="83"/>
              <w:jc w:val="left"/>
              <w:rPr>
                <w:sz w:val="18"/>
              </w:rPr>
            </w:pPr>
            <w:r>
              <w:rPr>
                <w:sz w:val="18"/>
              </w:rPr>
              <w:t>Additional</w:t>
            </w:r>
            <w:r>
              <w:rPr>
                <w:spacing w:val="-2"/>
                <w:sz w:val="18"/>
              </w:rPr>
              <w:t> Storage</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78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470" w:type="dxa"/>
            <w:tcBorders>
              <w:top w:val="single" w:sz="8" w:space="0" w:color="000000"/>
              <w:left w:val="single" w:sz="8" w:space="0" w:color="000000"/>
              <w:bottom w:val="single" w:sz="8" w:space="0" w:color="000000"/>
            </w:tcBorders>
          </w:tcPr>
          <w:p>
            <w:pPr>
              <w:pStyle w:val="TableParagraph"/>
              <w:spacing w:before="27"/>
              <w:ind w:left="47" w:right="5"/>
              <w:rPr>
                <w:sz w:val="18"/>
              </w:rPr>
            </w:pPr>
            <w:r>
              <w:rPr>
                <w:sz w:val="18"/>
              </w:rPr>
              <w:t>500 </w:t>
            </w:r>
            <w:r>
              <w:rPr>
                <w:spacing w:val="-5"/>
                <w:sz w:val="18"/>
              </w:rPr>
              <w:t>GB</w:t>
            </w:r>
          </w:p>
        </w:tc>
      </w:tr>
      <w:tr>
        <w:trPr>
          <w:trHeight w:val="299" w:hRule="atLeast"/>
        </w:trPr>
        <w:tc>
          <w:tcPr>
            <w:tcW w:w="3970" w:type="dxa"/>
            <w:tcBorders>
              <w:top w:val="single" w:sz="8" w:space="0" w:color="000000"/>
              <w:bottom w:val="single" w:sz="8" w:space="0" w:color="000000"/>
              <w:right w:val="single" w:sz="8" w:space="0" w:color="000000"/>
            </w:tcBorders>
          </w:tcPr>
          <w:p>
            <w:pPr>
              <w:pStyle w:val="TableParagraph"/>
              <w:spacing w:before="17"/>
              <w:ind w:left="83"/>
              <w:jc w:val="left"/>
              <w:rPr>
                <w:sz w:val="18"/>
              </w:rPr>
            </w:pPr>
            <w:r>
              <w:rPr>
                <w:sz w:val="18"/>
              </w:rPr>
              <w:t>Monthly Data </w:t>
            </w:r>
            <w:r>
              <w:rPr>
                <w:spacing w:val="-2"/>
                <w:sz w:val="18"/>
              </w:rPr>
              <w:t>Snapshot</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78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470" w:type="dxa"/>
            <w:tcBorders>
              <w:top w:val="single" w:sz="8" w:space="0" w:color="000000"/>
              <w:left w:val="single" w:sz="8" w:space="0" w:color="000000"/>
              <w:bottom w:val="single" w:sz="8" w:space="0" w:color="000000"/>
            </w:tcBorders>
          </w:tcPr>
          <w:p>
            <w:pPr>
              <w:pStyle w:val="TableParagraph"/>
              <w:spacing w:before="14"/>
              <w:ind w:left="47" w:right="5"/>
              <w:rPr>
                <w:rFonts w:ascii="MS PGothic" w:hAnsi="MS PGothic"/>
                <w:sz w:val="18"/>
              </w:rPr>
            </w:pPr>
            <w:r>
              <w:rPr>
                <w:rFonts w:ascii="MS PGothic" w:hAnsi="MS PGothic"/>
                <w:spacing w:val="-10"/>
                <w:sz w:val="18"/>
              </w:rPr>
              <w:t>✔</w:t>
            </w:r>
          </w:p>
        </w:tc>
      </w:tr>
      <w:tr>
        <w:trPr>
          <w:trHeight w:val="317" w:hRule="atLeast"/>
        </w:trPr>
        <w:tc>
          <w:tcPr>
            <w:tcW w:w="3970" w:type="dxa"/>
            <w:tcBorders>
              <w:top w:val="single" w:sz="8" w:space="0" w:color="000000"/>
              <w:right w:val="single" w:sz="8" w:space="0" w:color="000000"/>
            </w:tcBorders>
          </w:tcPr>
          <w:p>
            <w:pPr>
              <w:pStyle w:val="TableParagraph"/>
              <w:spacing w:before="27"/>
              <w:ind w:left="83"/>
              <w:jc w:val="left"/>
              <w:rPr>
                <w:sz w:val="18"/>
              </w:rPr>
            </w:pPr>
            <w:r>
              <w:rPr>
                <w:sz w:val="18"/>
              </w:rPr>
              <w:t>Monthly</w:t>
            </w:r>
            <w:r>
              <w:rPr>
                <w:spacing w:val="-2"/>
                <w:sz w:val="18"/>
              </w:rPr>
              <w:t> </w:t>
            </w:r>
            <w:r>
              <w:rPr>
                <w:sz w:val="18"/>
              </w:rPr>
              <w:t>Data </w:t>
            </w:r>
            <w:r>
              <w:rPr>
                <w:spacing w:val="-2"/>
                <w:sz w:val="18"/>
              </w:rPr>
              <w:t>Refresh</w:t>
            </w:r>
          </w:p>
        </w:tc>
        <w:tc>
          <w:tcPr>
            <w:tcW w:w="1860" w:type="dxa"/>
            <w:tcBorders>
              <w:top w:val="single" w:sz="8" w:space="0" w:color="000000"/>
              <w:left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right w:val="single" w:sz="8" w:space="0" w:color="000000"/>
            </w:tcBorders>
          </w:tcPr>
          <w:p>
            <w:pPr>
              <w:pStyle w:val="TableParagraph"/>
              <w:jc w:val="left"/>
              <w:rPr>
                <w:rFonts w:ascii="Times New Roman"/>
                <w:sz w:val="18"/>
              </w:rPr>
            </w:pPr>
          </w:p>
        </w:tc>
        <w:tc>
          <w:tcPr>
            <w:tcW w:w="1780" w:type="dxa"/>
            <w:tcBorders>
              <w:top w:val="single" w:sz="8" w:space="0" w:color="000000"/>
              <w:left w:val="single" w:sz="8" w:space="0" w:color="000000"/>
              <w:right w:val="single" w:sz="8" w:space="0" w:color="000000"/>
            </w:tcBorders>
          </w:tcPr>
          <w:p>
            <w:pPr>
              <w:pStyle w:val="TableParagraph"/>
              <w:jc w:val="left"/>
              <w:rPr>
                <w:rFonts w:ascii="Times New Roman"/>
                <w:sz w:val="18"/>
              </w:rPr>
            </w:pPr>
          </w:p>
        </w:tc>
        <w:tc>
          <w:tcPr>
            <w:tcW w:w="1470" w:type="dxa"/>
            <w:tcBorders>
              <w:top w:val="single" w:sz="8" w:space="0" w:color="000000"/>
              <w:left w:val="single" w:sz="8" w:space="0" w:color="000000"/>
            </w:tcBorders>
          </w:tcPr>
          <w:p>
            <w:pPr>
              <w:pStyle w:val="TableParagraph"/>
              <w:spacing w:before="24"/>
              <w:ind w:left="47" w:right="5"/>
              <w:rPr>
                <w:rFonts w:ascii="MS PGothic" w:hAnsi="MS PGothic"/>
                <w:sz w:val="18"/>
              </w:rPr>
            </w:pPr>
            <w:r>
              <w:rPr>
                <w:rFonts w:ascii="MS PGothic" w:hAnsi="MS PGothic"/>
                <w:spacing w:val="-10"/>
                <w:sz w:val="18"/>
              </w:rPr>
              <w:t>✔</w:t>
            </w:r>
          </w:p>
        </w:tc>
      </w:tr>
      <w:tr>
        <w:trPr>
          <w:trHeight w:val="417" w:hRule="atLeast"/>
        </w:trPr>
        <w:tc>
          <w:tcPr>
            <w:tcW w:w="10880" w:type="dxa"/>
            <w:gridSpan w:val="5"/>
            <w:tcBorders>
              <w:bottom w:val="single" w:sz="8" w:space="0" w:color="D9D9D9"/>
            </w:tcBorders>
            <w:shd w:val="clear" w:color="auto" w:fill="EFEFEF"/>
          </w:tcPr>
          <w:p>
            <w:pPr>
              <w:pStyle w:val="TableParagraph"/>
              <w:spacing w:before="100"/>
              <w:ind w:left="102"/>
              <w:jc w:val="left"/>
              <w:rPr>
                <w:b/>
                <w:sz w:val="18"/>
              </w:rPr>
            </w:pPr>
            <w:r>
              <w:rPr>
                <w:b/>
                <w:sz w:val="18"/>
              </w:rPr>
              <w:t>COMPLIANCE &amp; </w:t>
            </w:r>
            <w:r>
              <w:rPr>
                <w:b/>
                <w:spacing w:val="-2"/>
                <w:sz w:val="18"/>
              </w:rPr>
              <w:t>AUDIT</w:t>
            </w:r>
          </w:p>
        </w:tc>
      </w:tr>
      <w:tr>
        <w:trPr>
          <w:trHeight w:val="300" w:hRule="atLeast"/>
        </w:trPr>
        <w:tc>
          <w:tcPr>
            <w:tcW w:w="3970" w:type="dxa"/>
            <w:tcBorders>
              <w:top w:val="single" w:sz="8" w:space="0" w:color="D9D9D9"/>
              <w:bottom w:val="single" w:sz="8" w:space="0" w:color="000000"/>
              <w:right w:val="single" w:sz="8" w:space="0" w:color="000000"/>
            </w:tcBorders>
          </w:tcPr>
          <w:p>
            <w:pPr>
              <w:pStyle w:val="TableParagraph"/>
              <w:spacing w:before="22"/>
              <w:ind w:left="83"/>
              <w:jc w:val="left"/>
              <w:rPr>
                <w:sz w:val="18"/>
              </w:rPr>
            </w:pPr>
            <w:r>
              <w:rPr>
                <w:sz w:val="18"/>
              </w:rPr>
              <w:t>SOC 2 </w:t>
            </w:r>
            <w:r>
              <w:rPr>
                <w:spacing w:val="-2"/>
                <w:sz w:val="18"/>
              </w:rPr>
              <w:t>Report</w:t>
            </w:r>
          </w:p>
        </w:tc>
        <w:tc>
          <w:tcPr>
            <w:tcW w:w="1860" w:type="dxa"/>
            <w:tcBorders>
              <w:top w:val="single" w:sz="8" w:space="0" w:color="D9D9D9"/>
              <w:left w:val="single" w:sz="8" w:space="0" w:color="000000"/>
              <w:bottom w:val="single" w:sz="8" w:space="0" w:color="000000"/>
              <w:right w:val="single" w:sz="8" w:space="0" w:color="000000"/>
            </w:tcBorders>
          </w:tcPr>
          <w:p>
            <w:pPr>
              <w:pStyle w:val="TableParagraph"/>
              <w:spacing w:before="18"/>
              <w:ind w:left="40"/>
              <w:rPr>
                <w:rFonts w:ascii="MS PGothic" w:hAnsi="MS PGothic"/>
                <w:sz w:val="20"/>
              </w:rPr>
            </w:pPr>
            <w:r>
              <w:rPr>
                <w:rFonts w:ascii="MS PGothic" w:hAnsi="MS PGothic"/>
                <w:spacing w:val="-10"/>
                <w:sz w:val="20"/>
              </w:rPr>
              <w:t>✔</w:t>
            </w:r>
          </w:p>
        </w:tc>
        <w:tc>
          <w:tcPr>
            <w:tcW w:w="1800" w:type="dxa"/>
            <w:tcBorders>
              <w:top w:val="single" w:sz="8" w:space="0" w:color="D9D9D9"/>
              <w:left w:val="single" w:sz="8" w:space="0" w:color="000000"/>
              <w:bottom w:val="single" w:sz="8" w:space="0" w:color="000000"/>
              <w:right w:val="single" w:sz="8" w:space="0" w:color="000000"/>
            </w:tcBorders>
          </w:tcPr>
          <w:p>
            <w:pPr>
              <w:pStyle w:val="TableParagraph"/>
              <w:spacing w:before="18"/>
              <w:ind w:left="25"/>
              <w:rPr>
                <w:rFonts w:ascii="MS PGothic" w:hAnsi="MS PGothic"/>
                <w:sz w:val="20"/>
              </w:rPr>
            </w:pPr>
            <w:r>
              <w:rPr>
                <w:rFonts w:ascii="MS PGothic" w:hAnsi="MS PGothic"/>
                <w:spacing w:val="-10"/>
                <w:sz w:val="20"/>
              </w:rPr>
              <w:t>✔</w:t>
            </w:r>
          </w:p>
        </w:tc>
        <w:tc>
          <w:tcPr>
            <w:tcW w:w="1780" w:type="dxa"/>
            <w:tcBorders>
              <w:top w:val="single" w:sz="8" w:space="0" w:color="D9D9D9"/>
              <w:left w:val="single" w:sz="8" w:space="0" w:color="000000"/>
              <w:bottom w:val="single" w:sz="8" w:space="0" w:color="000000"/>
              <w:right w:val="single" w:sz="8" w:space="0" w:color="000000"/>
            </w:tcBorders>
          </w:tcPr>
          <w:p>
            <w:pPr>
              <w:pStyle w:val="TableParagraph"/>
              <w:spacing w:before="18"/>
              <w:ind w:left="30"/>
              <w:rPr>
                <w:rFonts w:ascii="MS PGothic" w:hAnsi="MS PGothic"/>
                <w:sz w:val="20"/>
              </w:rPr>
            </w:pPr>
            <w:r>
              <w:rPr>
                <w:rFonts w:ascii="MS PGothic" w:hAnsi="MS PGothic"/>
                <w:spacing w:val="-10"/>
                <w:sz w:val="20"/>
              </w:rPr>
              <w:t>✔</w:t>
            </w:r>
          </w:p>
        </w:tc>
        <w:tc>
          <w:tcPr>
            <w:tcW w:w="1470" w:type="dxa"/>
            <w:tcBorders>
              <w:top w:val="single" w:sz="8" w:space="0" w:color="D9D9D9"/>
              <w:left w:val="single" w:sz="8" w:space="0" w:color="000000"/>
              <w:bottom w:val="single" w:sz="8" w:space="0" w:color="000000"/>
            </w:tcBorders>
          </w:tcPr>
          <w:p>
            <w:pPr>
              <w:pStyle w:val="TableParagraph"/>
              <w:spacing w:before="18"/>
              <w:ind w:left="47"/>
              <w:rPr>
                <w:rFonts w:ascii="MS PGothic" w:hAnsi="MS PGothic"/>
                <w:sz w:val="20"/>
              </w:rPr>
            </w:pPr>
            <w:r>
              <w:rPr>
                <w:rFonts w:ascii="MS PGothic" w:hAnsi="MS PGothic"/>
                <w:spacing w:val="-10"/>
                <w:sz w:val="20"/>
              </w:rPr>
              <w:t>✔</w:t>
            </w:r>
          </w:p>
        </w:tc>
      </w:tr>
      <w:tr>
        <w:trPr>
          <w:trHeight w:val="319" w:hRule="atLeast"/>
        </w:trPr>
        <w:tc>
          <w:tcPr>
            <w:tcW w:w="3970" w:type="dxa"/>
            <w:tcBorders>
              <w:top w:val="single" w:sz="8" w:space="0" w:color="000000"/>
              <w:bottom w:val="single" w:sz="8" w:space="0" w:color="000000"/>
              <w:right w:val="single" w:sz="8" w:space="0" w:color="000000"/>
            </w:tcBorders>
          </w:tcPr>
          <w:p>
            <w:pPr>
              <w:pStyle w:val="TableParagraph"/>
              <w:spacing w:before="32"/>
              <w:ind w:left="83"/>
              <w:jc w:val="left"/>
              <w:rPr>
                <w:sz w:val="18"/>
              </w:rPr>
            </w:pPr>
            <w:r>
              <w:rPr>
                <w:sz w:val="18"/>
              </w:rPr>
              <w:t>Standardized</w:t>
            </w:r>
            <w:r>
              <w:rPr>
                <w:spacing w:val="-2"/>
                <w:sz w:val="18"/>
              </w:rPr>
              <w:t> </w:t>
            </w:r>
            <w:r>
              <w:rPr>
                <w:sz w:val="18"/>
              </w:rPr>
              <w:t>Information</w:t>
            </w:r>
            <w:r>
              <w:rPr>
                <w:spacing w:val="-2"/>
                <w:sz w:val="18"/>
              </w:rPr>
              <w:t> </w:t>
            </w:r>
            <w:r>
              <w:rPr>
                <w:sz w:val="18"/>
              </w:rPr>
              <w:t>Gathering</w:t>
            </w:r>
            <w:r>
              <w:rPr>
                <w:spacing w:val="-1"/>
                <w:sz w:val="18"/>
              </w:rPr>
              <w:t> </w:t>
            </w:r>
            <w:r>
              <w:rPr>
                <w:spacing w:val="-2"/>
                <w:sz w:val="18"/>
              </w:rPr>
              <w:t>(SIG)</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bottom w:val="single" w:sz="8" w:space="0" w:color="000000"/>
              <w:right w:val="single" w:sz="8" w:space="0" w:color="000000"/>
            </w:tcBorders>
          </w:tcPr>
          <w:p>
            <w:pPr>
              <w:pStyle w:val="TableParagraph"/>
              <w:spacing w:before="28"/>
              <w:ind w:left="25"/>
              <w:rPr>
                <w:rFonts w:ascii="MS PGothic" w:hAnsi="MS PGothic"/>
                <w:sz w:val="20"/>
              </w:rPr>
            </w:pPr>
            <w:r>
              <w:rPr>
                <w:rFonts w:ascii="MS PGothic" w:hAnsi="MS PGothic"/>
                <w:spacing w:val="-10"/>
                <w:sz w:val="20"/>
              </w:rPr>
              <w:t>✔</w:t>
            </w:r>
          </w:p>
        </w:tc>
        <w:tc>
          <w:tcPr>
            <w:tcW w:w="1780" w:type="dxa"/>
            <w:tcBorders>
              <w:top w:val="single" w:sz="8" w:space="0" w:color="000000"/>
              <w:left w:val="single" w:sz="8" w:space="0" w:color="000000"/>
              <w:bottom w:val="single" w:sz="8" w:space="0" w:color="000000"/>
              <w:right w:val="single" w:sz="8" w:space="0" w:color="000000"/>
            </w:tcBorders>
          </w:tcPr>
          <w:p>
            <w:pPr>
              <w:pStyle w:val="TableParagraph"/>
              <w:spacing w:before="28"/>
              <w:ind w:left="30"/>
              <w:rPr>
                <w:rFonts w:ascii="MS PGothic" w:hAnsi="MS PGothic"/>
                <w:sz w:val="20"/>
              </w:rPr>
            </w:pPr>
            <w:r>
              <w:rPr>
                <w:rFonts w:ascii="MS PGothic" w:hAnsi="MS PGothic"/>
                <w:spacing w:val="-10"/>
                <w:sz w:val="20"/>
              </w:rPr>
              <w:t>✔</w:t>
            </w:r>
          </w:p>
        </w:tc>
        <w:tc>
          <w:tcPr>
            <w:tcW w:w="1470" w:type="dxa"/>
            <w:tcBorders>
              <w:top w:val="single" w:sz="8" w:space="0" w:color="000000"/>
              <w:left w:val="single" w:sz="8" w:space="0" w:color="000000"/>
              <w:bottom w:val="single" w:sz="8" w:space="0" w:color="000000"/>
            </w:tcBorders>
          </w:tcPr>
          <w:p>
            <w:pPr>
              <w:pStyle w:val="TableParagraph"/>
              <w:spacing w:before="28"/>
              <w:ind w:left="47"/>
              <w:rPr>
                <w:rFonts w:ascii="MS PGothic" w:hAnsi="MS PGothic"/>
                <w:sz w:val="20"/>
              </w:rPr>
            </w:pPr>
            <w:r>
              <w:rPr>
                <w:rFonts w:ascii="MS PGothic" w:hAnsi="MS PGothic"/>
                <w:spacing w:val="-10"/>
                <w:sz w:val="20"/>
              </w:rPr>
              <w:t>✔</w:t>
            </w:r>
          </w:p>
        </w:tc>
      </w:tr>
      <w:tr>
        <w:trPr>
          <w:trHeight w:val="300" w:hRule="atLeast"/>
        </w:trPr>
        <w:tc>
          <w:tcPr>
            <w:tcW w:w="3970" w:type="dxa"/>
            <w:tcBorders>
              <w:top w:val="single" w:sz="8" w:space="0" w:color="000000"/>
              <w:bottom w:val="single" w:sz="8" w:space="0" w:color="000000"/>
              <w:right w:val="single" w:sz="8" w:space="0" w:color="000000"/>
            </w:tcBorders>
          </w:tcPr>
          <w:p>
            <w:pPr>
              <w:pStyle w:val="TableParagraph"/>
              <w:spacing w:before="22"/>
              <w:ind w:left="83"/>
              <w:jc w:val="left"/>
              <w:rPr>
                <w:sz w:val="18"/>
              </w:rPr>
            </w:pPr>
            <w:r>
              <w:rPr>
                <w:sz w:val="18"/>
              </w:rPr>
              <w:t>Annual Customer </w:t>
            </w:r>
            <w:r>
              <w:rPr>
                <w:spacing w:val="-2"/>
                <w:sz w:val="18"/>
              </w:rPr>
              <w:t>Audit</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78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470" w:type="dxa"/>
            <w:tcBorders>
              <w:top w:val="single" w:sz="8" w:space="0" w:color="000000"/>
              <w:left w:val="single" w:sz="8" w:space="0" w:color="000000"/>
              <w:bottom w:val="single" w:sz="8" w:space="0" w:color="000000"/>
            </w:tcBorders>
          </w:tcPr>
          <w:p>
            <w:pPr>
              <w:pStyle w:val="TableParagraph"/>
              <w:spacing w:before="18"/>
              <w:ind w:left="47"/>
              <w:rPr>
                <w:rFonts w:ascii="MS PGothic" w:hAnsi="MS PGothic"/>
                <w:sz w:val="20"/>
              </w:rPr>
            </w:pPr>
            <w:r>
              <w:rPr>
                <w:rFonts w:ascii="MS PGothic" w:hAnsi="MS PGothic"/>
                <w:spacing w:val="-10"/>
                <w:sz w:val="20"/>
              </w:rPr>
              <w:t>✔</w:t>
            </w:r>
          </w:p>
        </w:tc>
      </w:tr>
      <w:tr>
        <w:trPr>
          <w:trHeight w:val="319" w:hRule="atLeast"/>
        </w:trPr>
        <w:tc>
          <w:tcPr>
            <w:tcW w:w="3970" w:type="dxa"/>
            <w:tcBorders>
              <w:top w:val="single" w:sz="8" w:space="0" w:color="000000"/>
              <w:bottom w:val="single" w:sz="8" w:space="0" w:color="000000"/>
              <w:right w:val="single" w:sz="8" w:space="0" w:color="000000"/>
            </w:tcBorders>
          </w:tcPr>
          <w:p>
            <w:pPr>
              <w:pStyle w:val="TableParagraph"/>
              <w:spacing w:before="32"/>
              <w:ind w:left="83"/>
              <w:jc w:val="left"/>
              <w:rPr>
                <w:sz w:val="18"/>
              </w:rPr>
            </w:pPr>
            <w:r>
              <w:rPr>
                <w:sz w:val="18"/>
              </w:rPr>
              <w:t>Site</w:t>
            </w:r>
            <w:r>
              <w:rPr>
                <w:spacing w:val="-1"/>
                <w:sz w:val="18"/>
              </w:rPr>
              <w:t> </w:t>
            </w:r>
            <w:r>
              <w:rPr>
                <w:sz w:val="18"/>
              </w:rPr>
              <w:t>Data Audit </w:t>
            </w:r>
            <w:r>
              <w:rPr>
                <w:spacing w:val="-2"/>
                <w:sz w:val="18"/>
              </w:rPr>
              <w:t>Requests</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78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470" w:type="dxa"/>
            <w:tcBorders>
              <w:top w:val="single" w:sz="8" w:space="0" w:color="000000"/>
              <w:left w:val="single" w:sz="8" w:space="0" w:color="000000"/>
              <w:bottom w:val="single" w:sz="8" w:space="0" w:color="000000"/>
            </w:tcBorders>
          </w:tcPr>
          <w:p>
            <w:pPr>
              <w:pStyle w:val="TableParagraph"/>
              <w:spacing w:before="28"/>
              <w:ind w:left="47"/>
              <w:rPr>
                <w:rFonts w:ascii="MS PGothic" w:hAnsi="MS PGothic"/>
                <w:sz w:val="20"/>
              </w:rPr>
            </w:pPr>
            <w:r>
              <w:rPr>
                <w:rFonts w:ascii="MS PGothic" w:hAnsi="MS PGothic"/>
                <w:spacing w:val="-10"/>
                <w:sz w:val="20"/>
              </w:rPr>
              <w:t>✔</w:t>
            </w:r>
          </w:p>
        </w:tc>
      </w:tr>
      <w:tr>
        <w:trPr>
          <w:trHeight w:val="300" w:hRule="atLeast"/>
        </w:trPr>
        <w:tc>
          <w:tcPr>
            <w:tcW w:w="3970" w:type="dxa"/>
            <w:tcBorders>
              <w:top w:val="single" w:sz="8" w:space="0" w:color="000000"/>
              <w:bottom w:val="single" w:sz="8" w:space="0" w:color="000000"/>
              <w:right w:val="single" w:sz="8" w:space="0" w:color="000000"/>
            </w:tcBorders>
          </w:tcPr>
          <w:p>
            <w:pPr>
              <w:pStyle w:val="TableParagraph"/>
              <w:spacing w:before="22"/>
              <w:ind w:left="83"/>
              <w:jc w:val="left"/>
              <w:rPr>
                <w:sz w:val="18"/>
              </w:rPr>
            </w:pPr>
            <w:r>
              <w:rPr>
                <w:sz w:val="18"/>
              </w:rPr>
              <w:t>Annual</w:t>
            </w:r>
            <w:r>
              <w:rPr>
                <w:spacing w:val="-1"/>
                <w:sz w:val="18"/>
              </w:rPr>
              <w:t> </w:t>
            </w:r>
            <w:r>
              <w:rPr>
                <w:sz w:val="18"/>
              </w:rPr>
              <w:t>Security</w:t>
            </w:r>
            <w:r>
              <w:rPr>
                <w:spacing w:val="-1"/>
                <w:sz w:val="18"/>
              </w:rPr>
              <w:t> </w:t>
            </w:r>
            <w:r>
              <w:rPr>
                <w:spacing w:val="-2"/>
                <w:sz w:val="18"/>
              </w:rPr>
              <w:t>Questionnaire</w:t>
            </w:r>
          </w:p>
        </w:tc>
        <w:tc>
          <w:tcPr>
            <w:tcW w:w="186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780" w:type="dxa"/>
            <w:tcBorders>
              <w:top w:val="single" w:sz="8" w:space="0" w:color="000000"/>
              <w:left w:val="single" w:sz="8" w:space="0" w:color="000000"/>
              <w:bottom w:val="single" w:sz="8" w:space="0" w:color="000000"/>
              <w:right w:val="single" w:sz="8" w:space="0" w:color="000000"/>
            </w:tcBorders>
          </w:tcPr>
          <w:p>
            <w:pPr>
              <w:pStyle w:val="TableParagraph"/>
              <w:jc w:val="left"/>
              <w:rPr>
                <w:rFonts w:ascii="Times New Roman"/>
                <w:sz w:val="18"/>
              </w:rPr>
            </w:pPr>
          </w:p>
        </w:tc>
        <w:tc>
          <w:tcPr>
            <w:tcW w:w="1470" w:type="dxa"/>
            <w:tcBorders>
              <w:top w:val="single" w:sz="8" w:space="0" w:color="000000"/>
              <w:left w:val="single" w:sz="8" w:space="0" w:color="000000"/>
              <w:bottom w:val="single" w:sz="8" w:space="0" w:color="000000"/>
            </w:tcBorders>
          </w:tcPr>
          <w:p>
            <w:pPr>
              <w:pStyle w:val="TableParagraph"/>
              <w:spacing w:before="18"/>
              <w:ind w:left="47"/>
              <w:rPr>
                <w:rFonts w:ascii="MS PGothic" w:hAnsi="MS PGothic"/>
                <w:sz w:val="20"/>
              </w:rPr>
            </w:pPr>
            <w:r>
              <w:rPr>
                <w:rFonts w:ascii="MS PGothic" w:hAnsi="MS PGothic"/>
                <w:spacing w:val="-10"/>
                <w:sz w:val="20"/>
              </w:rPr>
              <w:t>✔</w:t>
            </w:r>
          </w:p>
        </w:tc>
      </w:tr>
      <w:tr>
        <w:trPr>
          <w:trHeight w:val="317" w:hRule="atLeast"/>
        </w:trPr>
        <w:tc>
          <w:tcPr>
            <w:tcW w:w="3970" w:type="dxa"/>
            <w:tcBorders>
              <w:top w:val="single" w:sz="8" w:space="0" w:color="000000"/>
              <w:right w:val="single" w:sz="8" w:space="0" w:color="000000"/>
            </w:tcBorders>
          </w:tcPr>
          <w:p>
            <w:pPr>
              <w:pStyle w:val="TableParagraph"/>
              <w:spacing w:before="32"/>
              <w:ind w:left="83"/>
              <w:jc w:val="left"/>
              <w:rPr>
                <w:sz w:val="18"/>
              </w:rPr>
            </w:pPr>
            <w:hyperlink r:id="rId13">
              <w:r>
                <w:rPr>
                  <w:color w:val="1154CC"/>
                  <w:sz w:val="18"/>
                  <w:u w:val="thick" w:color="1154CC"/>
                </w:rPr>
                <w:t>Data Loss </w:t>
              </w:r>
              <w:r>
                <w:rPr>
                  <w:color w:val="1154CC"/>
                  <w:spacing w:val="-2"/>
                  <w:sz w:val="18"/>
                  <w:u w:val="thick" w:color="1154CC"/>
                </w:rPr>
                <w:t>Prevention</w:t>
              </w:r>
            </w:hyperlink>
            <w:r>
              <w:rPr>
                <w:spacing w:val="-2"/>
                <w:sz w:val="18"/>
                <w:u w:val="none"/>
              </w:rPr>
              <w:t>*</w:t>
            </w:r>
          </w:p>
        </w:tc>
        <w:tc>
          <w:tcPr>
            <w:tcW w:w="1860" w:type="dxa"/>
            <w:tcBorders>
              <w:top w:val="single" w:sz="8" w:space="0" w:color="000000"/>
              <w:left w:val="single" w:sz="8" w:space="0" w:color="000000"/>
              <w:right w:val="single" w:sz="8" w:space="0" w:color="000000"/>
            </w:tcBorders>
          </w:tcPr>
          <w:p>
            <w:pPr>
              <w:pStyle w:val="TableParagraph"/>
              <w:jc w:val="left"/>
              <w:rPr>
                <w:rFonts w:ascii="Times New Roman"/>
                <w:sz w:val="18"/>
              </w:rPr>
            </w:pPr>
          </w:p>
        </w:tc>
        <w:tc>
          <w:tcPr>
            <w:tcW w:w="1800" w:type="dxa"/>
            <w:tcBorders>
              <w:top w:val="single" w:sz="8" w:space="0" w:color="000000"/>
              <w:left w:val="single" w:sz="8" w:space="0" w:color="000000"/>
              <w:right w:val="single" w:sz="8" w:space="0" w:color="000000"/>
            </w:tcBorders>
          </w:tcPr>
          <w:p>
            <w:pPr>
              <w:pStyle w:val="TableParagraph"/>
              <w:jc w:val="left"/>
              <w:rPr>
                <w:rFonts w:ascii="Times New Roman"/>
                <w:sz w:val="18"/>
              </w:rPr>
            </w:pPr>
          </w:p>
        </w:tc>
        <w:tc>
          <w:tcPr>
            <w:tcW w:w="1780" w:type="dxa"/>
            <w:tcBorders>
              <w:top w:val="single" w:sz="8" w:space="0" w:color="000000"/>
              <w:left w:val="single" w:sz="8" w:space="0" w:color="000000"/>
              <w:right w:val="single" w:sz="8" w:space="0" w:color="000000"/>
            </w:tcBorders>
          </w:tcPr>
          <w:p>
            <w:pPr>
              <w:pStyle w:val="TableParagraph"/>
              <w:jc w:val="left"/>
              <w:rPr>
                <w:rFonts w:ascii="Times New Roman"/>
                <w:sz w:val="18"/>
              </w:rPr>
            </w:pPr>
          </w:p>
        </w:tc>
        <w:tc>
          <w:tcPr>
            <w:tcW w:w="1470" w:type="dxa"/>
            <w:tcBorders>
              <w:top w:val="single" w:sz="8" w:space="0" w:color="000000"/>
              <w:left w:val="single" w:sz="8" w:space="0" w:color="000000"/>
            </w:tcBorders>
          </w:tcPr>
          <w:p>
            <w:pPr>
              <w:pStyle w:val="TableParagraph"/>
              <w:spacing w:before="28"/>
              <w:ind w:left="47"/>
              <w:rPr>
                <w:rFonts w:ascii="MS PGothic" w:hAnsi="MS PGothic"/>
                <w:sz w:val="20"/>
              </w:rPr>
            </w:pPr>
            <w:r>
              <w:rPr>
                <w:rFonts w:ascii="MS PGothic" w:hAnsi="MS PGothic"/>
                <w:spacing w:val="-10"/>
                <w:sz w:val="20"/>
              </w:rPr>
              <w:t>✔</w:t>
            </w:r>
          </w:p>
        </w:tc>
      </w:tr>
    </w:tbl>
    <w:p>
      <w:pPr>
        <w:pStyle w:val="BodyText"/>
        <w:ind w:left="0"/>
        <w:jc w:val="left"/>
      </w:pPr>
    </w:p>
    <w:p>
      <w:pPr>
        <w:pStyle w:val="BodyText"/>
        <w:ind w:left="0"/>
        <w:jc w:val="left"/>
      </w:pPr>
    </w:p>
    <w:p>
      <w:pPr>
        <w:pStyle w:val="BodyText"/>
        <w:spacing w:before="201"/>
        <w:ind w:left="0"/>
        <w:jc w:val="left"/>
      </w:pPr>
    </w:p>
    <w:p>
      <w:pPr>
        <w:pStyle w:val="BodyText"/>
        <w:jc w:val="left"/>
        <w:rPr>
          <w:rFonts w:ascii="Arial"/>
        </w:rPr>
      </w:pPr>
      <w:r>
        <w:rPr>
          <w:rFonts w:ascii="Arial"/>
        </w:rPr>
        <w:t>*defined</w:t>
      </w:r>
      <w:r>
        <w:rPr>
          <w:rFonts w:ascii="Arial"/>
          <w:spacing w:val="-5"/>
        </w:rPr>
        <w:t> </w:t>
      </w:r>
      <w:r>
        <w:rPr>
          <w:rFonts w:ascii="Arial"/>
        </w:rPr>
        <w:t>at</w:t>
      </w:r>
      <w:r>
        <w:rPr>
          <w:rFonts w:ascii="Arial"/>
          <w:spacing w:val="-5"/>
        </w:rPr>
        <w:t> </w:t>
      </w:r>
      <w:r>
        <w:rPr>
          <w:rFonts w:ascii="Arial"/>
          <w:spacing w:val="-2"/>
        </w:rPr>
        <w:t>docs.appian.com</w:t>
      </w:r>
    </w:p>
    <w:p>
      <w:pPr>
        <w:spacing w:after="0"/>
        <w:jc w:val="left"/>
        <w:rPr>
          <w:rFonts w:ascii="Arial"/>
        </w:rPr>
        <w:sectPr>
          <w:type w:val="continuous"/>
          <w:pgSz w:w="12240" w:h="15840"/>
          <w:pgMar w:top="20" w:bottom="280" w:left="580" w:right="500"/>
        </w:sectPr>
      </w:pPr>
    </w:p>
    <w:p>
      <w:pPr>
        <w:pStyle w:val="ListParagraph"/>
        <w:numPr>
          <w:ilvl w:val="0"/>
          <w:numId w:val="1"/>
        </w:numPr>
        <w:tabs>
          <w:tab w:pos="415" w:val="left" w:leader="none"/>
        </w:tabs>
        <w:spacing w:line="240" w:lineRule="auto" w:before="82" w:after="0"/>
        <w:ind w:left="140" w:right="218" w:firstLine="0"/>
        <w:jc w:val="both"/>
        <w:rPr>
          <w:sz w:val="20"/>
        </w:rPr>
      </w:pPr>
      <w:r>
        <w:rPr>
          <w:b/>
          <w:sz w:val="20"/>
        </w:rPr>
        <w:t>RESPONSE MEASUREMENTS - </w:t>
      </w:r>
      <w:r>
        <w:rPr>
          <w:sz w:val="20"/>
        </w:rPr>
        <w:t>Appian will use commercially reasonable efforts to respond to Issues within the response times listed below. A Priority 1 or 2 Issue shall be deemed reported, and Appian’s response time shall commence, once Subscriber reports the issue as a Priority 1 or 2 Issue using Appian’s authorized telephone support number (Essentials, Advanced and Enterprise) or through Appian’s online case management system (Basic). A Priority 3 Issue or Priority 4 Issue shall be deemed reported, and Appian’s response period shall commence, once Subscriber</w:t>
      </w:r>
      <w:r>
        <w:rPr>
          <w:spacing w:val="40"/>
          <w:sz w:val="20"/>
        </w:rPr>
        <w:t> </w:t>
      </w:r>
      <w:r>
        <w:rPr>
          <w:sz w:val="20"/>
        </w:rPr>
        <w:t>reports the Priority 3 Issue or Priority 4</w:t>
      </w:r>
      <w:r>
        <w:rPr>
          <w:spacing w:val="-4"/>
          <w:sz w:val="20"/>
        </w:rPr>
        <w:t> </w:t>
      </w:r>
      <w:r>
        <w:rPr>
          <w:sz w:val="20"/>
        </w:rPr>
        <w:t>Issue</w:t>
      </w:r>
      <w:r>
        <w:rPr>
          <w:spacing w:val="-4"/>
          <w:sz w:val="20"/>
        </w:rPr>
        <w:t> </w:t>
      </w:r>
      <w:r>
        <w:rPr>
          <w:sz w:val="20"/>
        </w:rPr>
        <w:t>using</w:t>
      </w:r>
      <w:r>
        <w:rPr>
          <w:spacing w:val="-4"/>
          <w:sz w:val="20"/>
        </w:rPr>
        <w:t> </w:t>
      </w:r>
      <w:r>
        <w:rPr>
          <w:sz w:val="20"/>
        </w:rPr>
        <w:t>any</w:t>
      </w:r>
      <w:r>
        <w:rPr>
          <w:spacing w:val="-4"/>
          <w:sz w:val="20"/>
        </w:rPr>
        <w:t> </w:t>
      </w:r>
      <w:r>
        <w:rPr>
          <w:sz w:val="20"/>
        </w:rPr>
        <w:t>authorized</w:t>
      </w:r>
      <w:r>
        <w:rPr>
          <w:spacing w:val="-4"/>
          <w:sz w:val="20"/>
        </w:rPr>
        <w:t> </w:t>
      </w:r>
      <w:r>
        <w:rPr>
          <w:sz w:val="20"/>
        </w:rPr>
        <w:t>methods</w:t>
      </w:r>
      <w:r>
        <w:rPr>
          <w:spacing w:val="-4"/>
          <w:sz w:val="20"/>
        </w:rPr>
        <w:t> </w:t>
      </w:r>
      <w:r>
        <w:rPr>
          <w:sz w:val="20"/>
        </w:rPr>
        <w:t>for</w:t>
      </w:r>
      <w:r>
        <w:rPr>
          <w:spacing w:val="-4"/>
          <w:sz w:val="20"/>
        </w:rPr>
        <w:t> </w:t>
      </w:r>
      <w:r>
        <w:rPr>
          <w:sz w:val="20"/>
        </w:rPr>
        <w:t>requesting</w:t>
      </w:r>
      <w:r>
        <w:rPr>
          <w:spacing w:val="-4"/>
          <w:sz w:val="20"/>
        </w:rPr>
        <w:t> </w:t>
      </w:r>
      <w:r>
        <w:rPr>
          <w:sz w:val="20"/>
        </w:rPr>
        <w:t>Technical</w:t>
      </w:r>
      <w:r>
        <w:rPr>
          <w:spacing w:val="-4"/>
          <w:sz w:val="20"/>
        </w:rPr>
        <w:t> </w:t>
      </w:r>
      <w:r>
        <w:rPr>
          <w:sz w:val="20"/>
        </w:rPr>
        <w:t>Support.</w:t>
      </w:r>
      <w:r>
        <w:rPr>
          <w:spacing w:val="-4"/>
          <w:sz w:val="20"/>
        </w:rPr>
        <w:t> </w:t>
      </w:r>
      <w:r>
        <w:rPr>
          <w:sz w:val="20"/>
        </w:rPr>
        <w:t>Appian</w:t>
      </w:r>
      <w:r>
        <w:rPr>
          <w:spacing w:val="-4"/>
          <w:sz w:val="20"/>
        </w:rPr>
        <w:t> </w:t>
      </w:r>
      <w:r>
        <w:rPr>
          <w:sz w:val="20"/>
        </w:rPr>
        <w:t>will be deemed to have responded to an Issue once it responds that</w:t>
      </w:r>
      <w:r>
        <w:rPr>
          <w:spacing w:val="-3"/>
          <w:sz w:val="20"/>
        </w:rPr>
        <w:t> </w:t>
      </w:r>
      <w:r>
        <w:rPr>
          <w:sz w:val="20"/>
        </w:rPr>
        <w:t>it</w:t>
      </w:r>
      <w:r>
        <w:rPr>
          <w:spacing w:val="-3"/>
          <w:sz w:val="20"/>
        </w:rPr>
        <w:t> </w:t>
      </w:r>
      <w:r>
        <w:rPr>
          <w:sz w:val="20"/>
        </w:rPr>
        <w:t>has</w:t>
      </w:r>
      <w:r>
        <w:rPr>
          <w:spacing w:val="-3"/>
          <w:sz w:val="20"/>
        </w:rPr>
        <w:t> </w:t>
      </w:r>
      <w:r>
        <w:rPr>
          <w:sz w:val="20"/>
        </w:rPr>
        <w:t>received</w:t>
      </w:r>
      <w:r>
        <w:rPr>
          <w:spacing w:val="-3"/>
          <w:sz w:val="20"/>
        </w:rPr>
        <w:t> </w:t>
      </w:r>
      <w:r>
        <w:rPr>
          <w:sz w:val="20"/>
        </w:rPr>
        <w:t>the</w:t>
      </w:r>
      <w:r>
        <w:rPr>
          <w:spacing w:val="-3"/>
          <w:sz w:val="20"/>
        </w:rPr>
        <w:t> </w:t>
      </w:r>
      <w:r>
        <w:rPr>
          <w:sz w:val="20"/>
        </w:rPr>
        <w:t>Issue</w:t>
      </w:r>
      <w:r>
        <w:rPr>
          <w:spacing w:val="-3"/>
          <w:sz w:val="20"/>
        </w:rPr>
        <w:t> </w:t>
      </w:r>
      <w:r>
        <w:rPr>
          <w:sz w:val="20"/>
        </w:rPr>
        <w:t>(an</w:t>
      </w:r>
      <w:r>
        <w:rPr>
          <w:spacing w:val="-3"/>
          <w:sz w:val="20"/>
        </w:rPr>
        <w:t> </w:t>
      </w:r>
      <w:r>
        <w:rPr>
          <w:sz w:val="20"/>
        </w:rPr>
        <w:t>automated</w:t>
      </w:r>
      <w:r>
        <w:rPr>
          <w:spacing w:val="-3"/>
          <w:sz w:val="20"/>
        </w:rPr>
        <w:t> </w:t>
      </w:r>
      <w:r>
        <w:rPr>
          <w:sz w:val="20"/>
        </w:rPr>
        <w:t>email</w:t>
      </w:r>
      <w:r>
        <w:rPr>
          <w:spacing w:val="-3"/>
          <w:sz w:val="20"/>
        </w:rPr>
        <w:t> </w:t>
      </w:r>
      <w:r>
        <w:rPr>
          <w:sz w:val="20"/>
        </w:rPr>
        <w:t>response shall not count as a response). If Subscriber’s principal office is in the United States, Canada or Latin America,</w:t>
      </w:r>
      <w:r>
        <w:rPr>
          <w:spacing w:val="-3"/>
          <w:sz w:val="20"/>
        </w:rPr>
        <w:t> </w:t>
      </w:r>
      <w:r>
        <w:rPr>
          <w:sz w:val="20"/>
        </w:rPr>
        <w:t>business hours are 8:00 a.m. to 8:00 p.m. (USET), Monday through Friday, excluding Appian holidays; if Subscriber’s principal offices are in</w:t>
      </w:r>
      <w:r>
        <w:rPr>
          <w:spacing w:val="-4"/>
          <w:sz w:val="20"/>
        </w:rPr>
        <w:t> </w:t>
      </w:r>
      <w:r>
        <w:rPr>
          <w:sz w:val="20"/>
        </w:rPr>
        <w:t>Europe,</w:t>
      </w:r>
      <w:r>
        <w:rPr>
          <w:spacing w:val="-4"/>
          <w:sz w:val="20"/>
        </w:rPr>
        <w:t> </w:t>
      </w:r>
      <w:r>
        <w:rPr>
          <w:sz w:val="20"/>
        </w:rPr>
        <w:t>the</w:t>
      </w:r>
      <w:r>
        <w:rPr>
          <w:spacing w:val="-4"/>
          <w:sz w:val="20"/>
        </w:rPr>
        <w:t> </w:t>
      </w:r>
      <w:r>
        <w:rPr>
          <w:sz w:val="20"/>
        </w:rPr>
        <w:t>Middle</w:t>
      </w:r>
      <w:r>
        <w:rPr>
          <w:spacing w:val="-4"/>
          <w:sz w:val="20"/>
        </w:rPr>
        <w:t> </w:t>
      </w:r>
      <w:r>
        <w:rPr>
          <w:sz w:val="20"/>
        </w:rPr>
        <w:t>East,</w:t>
      </w:r>
      <w:r>
        <w:rPr>
          <w:spacing w:val="-4"/>
          <w:sz w:val="20"/>
        </w:rPr>
        <w:t> </w:t>
      </w:r>
      <w:r>
        <w:rPr>
          <w:sz w:val="20"/>
        </w:rPr>
        <w:t>or</w:t>
      </w:r>
      <w:r>
        <w:rPr>
          <w:spacing w:val="-4"/>
          <w:sz w:val="20"/>
        </w:rPr>
        <w:t> </w:t>
      </w:r>
      <w:r>
        <w:rPr>
          <w:sz w:val="20"/>
        </w:rPr>
        <w:t>Africa</w:t>
      </w:r>
      <w:r>
        <w:rPr>
          <w:spacing w:val="-4"/>
          <w:sz w:val="20"/>
        </w:rPr>
        <w:t> </w:t>
      </w:r>
      <w:r>
        <w:rPr>
          <w:sz w:val="20"/>
        </w:rPr>
        <w:t>business</w:t>
      </w:r>
      <w:r>
        <w:rPr>
          <w:spacing w:val="-4"/>
          <w:sz w:val="20"/>
        </w:rPr>
        <w:t> </w:t>
      </w:r>
      <w:r>
        <w:rPr>
          <w:sz w:val="20"/>
        </w:rPr>
        <w:t>hours</w:t>
      </w:r>
      <w:r>
        <w:rPr>
          <w:spacing w:val="-4"/>
          <w:sz w:val="20"/>
        </w:rPr>
        <w:t> </w:t>
      </w:r>
      <w:r>
        <w:rPr>
          <w:sz w:val="20"/>
        </w:rPr>
        <w:t>are</w:t>
      </w:r>
      <w:r>
        <w:rPr>
          <w:spacing w:val="-4"/>
          <w:sz w:val="20"/>
        </w:rPr>
        <w:t> </w:t>
      </w:r>
      <w:r>
        <w:rPr>
          <w:sz w:val="20"/>
        </w:rPr>
        <w:t>8:00</w:t>
      </w:r>
      <w:r>
        <w:rPr>
          <w:spacing w:val="-4"/>
          <w:sz w:val="20"/>
        </w:rPr>
        <w:t> </w:t>
      </w:r>
      <w:r>
        <w:rPr>
          <w:sz w:val="20"/>
        </w:rPr>
        <w:t>a.m.</w:t>
      </w:r>
      <w:r>
        <w:rPr>
          <w:spacing w:val="-4"/>
          <w:sz w:val="20"/>
        </w:rPr>
        <w:t> </w:t>
      </w:r>
      <w:r>
        <w:rPr>
          <w:sz w:val="20"/>
        </w:rPr>
        <w:t>to</w:t>
      </w:r>
      <w:r>
        <w:rPr>
          <w:spacing w:val="-4"/>
          <w:sz w:val="20"/>
        </w:rPr>
        <w:t> </w:t>
      </w:r>
      <w:r>
        <w:rPr>
          <w:sz w:val="20"/>
        </w:rPr>
        <w:t>8:00</w:t>
      </w:r>
      <w:r>
        <w:rPr>
          <w:spacing w:val="-4"/>
          <w:sz w:val="20"/>
        </w:rPr>
        <w:t> </w:t>
      </w:r>
      <w:r>
        <w:rPr>
          <w:sz w:val="20"/>
        </w:rPr>
        <w:t>p.m.</w:t>
      </w:r>
      <w:r>
        <w:rPr>
          <w:spacing w:val="-4"/>
          <w:sz w:val="20"/>
        </w:rPr>
        <w:t> </w:t>
      </w:r>
      <w:r>
        <w:rPr>
          <w:sz w:val="20"/>
        </w:rPr>
        <w:t>(GMT),</w:t>
      </w:r>
      <w:r>
        <w:rPr>
          <w:spacing w:val="-4"/>
          <w:sz w:val="20"/>
        </w:rPr>
        <w:t> </w:t>
      </w:r>
      <w:r>
        <w:rPr>
          <w:sz w:val="20"/>
        </w:rPr>
        <w:t>Monday</w:t>
      </w:r>
      <w:r>
        <w:rPr>
          <w:spacing w:val="-4"/>
          <w:sz w:val="20"/>
        </w:rPr>
        <w:t> </w:t>
      </w:r>
      <w:r>
        <w:rPr>
          <w:sz w:val="20"/>
        </w:rPr>
        <w:t>through</w:t>
      </w:r>
      <w:r>
        <w:rPr>
          <w:spacing w:val="-4"/>
          <w:sz w:val="20"/>
        </w:rPr>
        <w:t> </w:t>
      </w:r>
      <w:r>
        <w:rPr>
          <w:sz w:val="20"/>
        </w:rPr>
        <w:t>Friday, excluding UK holidays; and if Subscriber’s principal offices are in Australia, New Zealand, and East or Southeast Asia, business hours are 8:00 a.m. to 8:00 p.m. (Australian ET), excluding New South Wales holidays.</w:t>
      </w:r>
    </w:p>
    <w:p>
      <w:pPr>
        <w:pStyle w:val="BodyText"/>
        <w:ind w:left="0"/>
        <w:jc w:val="left"/>
        <w:rPr>
          <w:sz w:val="15"/>
        </w:rPr>
      </w:pPr>
    </w:p>
    <w:tbl>
      <w:tblPr>
        <w:tblW w:w="0" w:type="auto"/>
        <w:jc w:val="left"/>
        <w:tblInd w:w="5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800"/>
        <w:gridCol w:w="2600"/>
        <w:gridCol w:w="2740"/>
        <w:gridCol w:w="3400"/>
      </w:tblGrid>
      <w:tr>
        <w:trPr>
          <w:trHeight w:val="619" w:hRule="atLeast"/>
        </w:trPr>
        <w:tc>
          <w:tcPr>
            <w:tcW w:w="1800" w:type="dxa"/>
            <w:shd w:val="clear" w:color="auto" w:fill="0A5394"/>
          </w:tcPr>
          <w:p>
            <w:pPr>
              <w:pStyle w:val="TableParagraph"/>
              <w:spacing w:before="65"/>
              <w:jc w:val="left"/>
              <w:rPr>
                <w:sz w:val="20"/>
              </w:rPr>
            </w:pPr>
          </w:p>
          <w:p>
            <w:pPr>
              <w:pStyle w:val="TableParagraph"/>
              <w:ind w:left="25" w:right="25"/>
              <w:rPr>
                <w:b/>
                <w:sz w:val="20"/>
              </w:rPr>
            </w:pPr>
            <w:r>
              <w:rPr>
                <w:b/>
                <w:color w:val="FFFFFF"/>
                <w:sz w:val="20"/>
              </w:rPr>
              <w:t>Case</w:t>
            </w:r>
            <w:r>
              <w:rPr>
                <w:b/>
                <w:color w:val="FFFFFF"/>
                <w:spacing w:val="-4"/>
                <w:sz w:val="20"/>
              </w:rPr>
              <w:t> </w:t>
            </w:r>
            <w:r>
              <w:rPr>
                <w:b/>
                <w:color w:val="FFFFFF"/>
                <w:spacing w:val="-2"/>
                <w:sz w:val="20"/>
              </w:rPr>
              <w:t>Severity</w:t>
            </w:r>
          </w:p>
        </w:tc>
        <w:tc>
          <w:tcPr>
            <w:tcW w:w="2600" w:type="dxa"/>
            <w:shd w:val="clear" w:color="auto" w:fill="0A5394"/>
          </w:tcPr>
          <w:p>
            <w:pPr>
              <w:pStyle w:val="TableParagraph"/>
              <w:spacing w:line="268" w:lineRule="auto" w:before="37"/>
              <w:ind w:left="203" w:right="5" w:firstLine="399"/>
              <w:jc w:val="left"/>
              <w:rPr>
                <w:b/>
                <w:sz w:val="20"/>
              </w:rPr>
            </w:pPr>
            <w:r>
              <w:rPr>
                <w:b/>
                <w:color w:val="FFFFFF"/>
                <w:sz w:val="20"/>
              </w:rPr>
              <w:t>Basic Support Initial</w:t>
            </w:r>
            <w:r>
              <w:rPr>
                <w:b/>
                <w:color w:val="FFFFFF"/>
                <w:spacing w:val="-15"/>
                <w:sz w:val="20"/>
              </w:rPr>
              <w:t> </w:t>
            </w:r>
            <w:r>
              <w:rPr>
                <w:b/>
                <w:color w:val="FFFFFF"/>
                <w:sz w:val="20"/>
              </w:rPr>
              <w:t>Response</w:t>
            </w:r>
            <w:r>
              <w:rPr>
                <w:b/>
                <w:color w:val="FFFFFF"/>
                <w:spacing w:val="-15"/>
                <w:sz w:val="20"/>
              </w:rPr>
              <w:t> </w:t>
            </w:r>
            <w:r>
              <w:rPr>
                <w:b/>
                <w:color w:val="FFFFFF"/>
                <w:sz w:val="20"/>
              </w:rPr>
              <w:t>Time</w:t>
            </w:r>
          </w:p>
        </w:tc>
        <w:tc>
          <w:tcPr>
            <w:tcW w:w="2740" w:type="dxa"/>
            <w:shd w:val="clear" w:color="auto" w:fill="0A5394"/>
          </w:tcPr>
          <w:p>
            <w:pPr>
              <w:pStyle w:val="TableParagraph"/>
              <w:spacing w:line="268" w:lineRule="auto" w:before="37"/>
              <w:ind w:left="273" w:firstLine="213"/>
              <w:jc w:val="left"/>
              <w:rPr>
                <w:b/>
                <w:sz w:val="20"/>
              </w:rPr>
            </w:pPr>
            <w:r>
              <w:rPr>
                <w:b/>
                <w:color w:val="FFFFFF"/>
                <w:sz w:val="20"/>
              </w:rPr>
              <w:t>Essential Support Initial</w:t>
            </w:r>
            <w:r>
              <w:rPr>
                <w:b/>
                <w:color w:val="FFFFFF"/>
                <w:spacing w:val="-15"/>
                <w:sz w:val="20"/>
              </w:rPr>
              <w:t> </w:t>
            </w:r>
            <w:r>
              <w:rPr>
                <w:b/>
                <w:color w:val="FFFFFF"/>
                <w:sz w:val="20"/>
              </w:rPr>
              <w:t>Response</w:t>
            </w:r>
            <w:r>
              <w:rPr>
                <w:b/>
                <w:color w:val="FFFFFF"/>
                <w:spacing w:val="-15"/>
                <w:sz w:val="20"/>
              </w:rPr>
              <w:t> </w:t>
            </w:r>
            <w:r>
              <w:rPr>
                <w:b/>
                <w:color w:val="FFFFFF"/>
                <w:sz w:val="20"/>
              </w:rPr>
              <w:t>Time</w:t>
            </w:r>
          </w:p>
        </w:tc>
        <w:tc>
          <w:tcPr>
            <w:tcW w:w="3400" w:type="dxa"/>
            <w:shd w:val="clear" w:color="auto" w:fill="0A5394"/>
          </w:tcPr>
          <w:p>
            <w:pPr>
              <w:pStyle w:val="TableParagraph"/>
              <w:spacing w:line="268" w:lineRule="auto" w:before="37"/>
              <w:ind w:left="600" w:hanging="480"/>
              <w:jc w:val="left"/>
              <w:rPr>
                <w:b/>
                <w:sz w:val="20"/>
              </w:rPr>
            </w:pPr>
            <w:r>
              <w:rPr>
                <w:b/>
                <w:color w:val="FFFFFF"/>
                <w:sz w:val="20"/>
              </w:rPr>
              <w:t>Advanced</w:t>
            </w:r>
            <w:r>
              <w:rPr>
                <w:b/>
                <w:color w:val="FFFFFF"/>
                <w:spacing w:val="-13"/>
                <w:sz w:val="20"/>
              </w:rPr>
              <w:t> </w:t>
            </w:r>
            <w:r>
              <w:rPr>
                <w:b/>
                <w:color w:val="FFFFFF"/>
                <w:sz w:val="20"/>
              </w:rPr>
              <w:t>&amp;</w:t>
            </w:r>
            <w:r>
              <w:rPr>
                <w:b/>
                <w:color w:val="FFFFFF"/>
                <w:spacing w:val="-13"/>
                <w:sz w:val="20"/>
              </w:rPr>
              <w:t> </w:t>
            </w:r>
            <w:r>
              <w:rPr>
                <w:b/>
                <w:color w:val="FFFFFF"/>
                <w:sz w:val="20"/>
              </w:rPr>
              <w:t>Enterprise</w:t>
            </w:r>
            <w:r>
              <w:rPr>
                <w:b/>
                <w:color w:val="FFFFFF"/>
                <w:spacing w:val="-13"/>
                <w:sz w:val="20"/>
              </w:rPr>
              <w:t> </w:t>
            </w:r>
            <w:r>
              <w:rPr>
                <w:b/>
                <w:color w:val="FFFFFF"/>
                <w:sz w:val="20"/>
              </w:rPr>
              <w:t>Support Initial Response Time</w:t>
            </w:r>
          </w:p>
        </w:tc>
      </w:tr>
      <w:tr>
        <w:trPr>
          <w:trHeight w:val="360" w:hRule="atLeast"/>
        </w:trPr>
        <w:tc>
          <w:tcPr>
            <w:tcW w:w="1800" w:type="dxa"/>
          </w:tcPr>
          <w:p>
            <w:pPr>
              <w:pStyle w:val="TableParagraph"/>
              <w:spacing w:before="42"/>
              <w:ind w:left="25" w:right="25"/>
              <w:rPr>
                <w:sz w:val="20"/>
              </w:rPr>
            </w:pPr>
            <w:r>
              <w:rPr>
                <w:sz w:val="20"/>
              </w:rPr>
              <w:t>Priority</w:t>
            </w:r>
            <w:r>
              <w:rPr>
                <w:spacing w:val="-8"/>
                <w:sz w:val="20"/>
              </w:rPr>
              <w:t> </w:t>
            </w:r>
            <w:r>
              <w:rPr>
                <w:spacing w:val="-10"/>
                <w:sz w:val="20"/>
              </w:rPr>
              <w:t>1</w:t>
            </w:r>
          </w:p>
        </w:tc>
        <w:tc>
          <w:tcPr>
            <w:tcW w:w="2600" w:type="dxa"/>
          </w:tcPr>
          <w:p>
            <w:pPr>
              <w:pStyle w:val="TableParagraph"/>
              <w:spacing w:before="42"/>
              <w:ind w:left="10"/>
              <w:rPr>
                <w:sz w:val="20"/>
              </w:rPr>
            </w:pPr>
            <w:r>
              <w:rPr>
                <w:sz w:val="20"/>
              </w:rPr>
              <w:t>&lt;2</w:t>
            </w:r>
            <w:r>
              <w:rPr>
                <w:spacing w:val="-5"/>
                <w:sz w:val="20"/>
              </w:rPr>
              <w:t> </w:t>
            </w:r>
            <w:r>
              <w:rPr>
                <w:sz w:val="20"/>
              </w:rPr>
              <w:t>business</w:t>
            </w:r>
            <w:r>
              <w:rPr>
                <w:spacing w:val="-5"/>
                <w:sz w:val="20"/>
              </w:rPr>
              <w:t> </w:t>
            </w:r>
            <w:r>
              <w:rPr>
                <w:spacing w:val="-2"/>
                <w:sz w:val="20"/>
              </w:rPr>
              <w:t>hours</w:t>
            </w:r>
          </w:p>
        </w:tc>
        <w:tc>
          <w:tcPr>
            <w:tcW w:w="2740" w:type="dxa"/>
          </w:tcPr>
          <w:p>
            <w:pPr>
              <w:pStyle w:val="TableParagraph"/>
              <w:spacing w:before="42"/>
              <w:ind w:left="10"/>
              <w:rPr>
                <w:sz w:val="20"/>
              </w:rPr>
            </w:pPr>
            <w:r>
              <w:rPr>
                <w:sz w:val="20"/>
              </w:rPr>
              <w:t>&lt;1</w:t>
            </w:r>
            <w:r>
              <w:rPr>
                <w:spacing w:val="-5"/>
                <w:sz w:val="20"/>
              </w:rPr>
              <w:t> </w:t>
            </w:r>
            <w:r>
              <w:rPr>
                <w:sz w:val="20"/>
              </w:rPr>
              <w:t>business</w:t>
            </w:r>
            <w:r>
              <w:rPr>
                <w:spacing w:val="-5"/>
                <w:sz w:val="20"/>
              </w:rPr>
              <w:t> </w:t>
            </w:r>
            <w:r>
              <w:rPr>
                <w:spacing w:val="-4"/>
                <w:sz w:val="20"/>
              </w:rPr>
              <w:t>hour</w:t>
            </w:r>
          </w:p>
        </w:tc>
        <w:tc>
          <w:tcPr>
            <w:tcW w:w="3400" w:type="dxa"/>
          </w:tcPr>
          <w:p>
            <w:pPr>
              <w:pStyle w:val="TableParagraph"/>
              <w:spacing w:before="42"/>
              <w:ind w:left="5"/>
              <w:rPr>
                <w:sz w:val="20"/>
              </w:rPr>
            </w:pPr>
            <w:r>
              <w:rPr>
                <w:sz w:val="20"/>
              </w:rPr>
              <w:t>&lt;15</w:t>
            </w:r>
            <w:r>
              <w:rPr>
                <w:spacing w:val="-5"/>
                <w:sz w:val="20"/>
              </w:rPr>
              <w:t> </w:t>
            </w:r>
            <w:r>
              <w:rPr>
                <w:sz w:val="20"/>
              </w:rPr>
              <w:t>minutes</w:t>
            </w:r>
            <w:r>
              <w:rPr>
                <w:spacing w:val="-5"/>
                <w:sz w:val="20"/>
              </w:rPr>
              <w:t> </w:t>
            </w:r>
            <w:r>
              <w:rPr>
                <w:spacing w:val="-2"/>
                <w:sz w:val="20"/>
              </w:rPr>
              <w:t>(24x7x365)</w:t>
            </w:r>
          </w:p>
        </w:tc>
      </w:tr>
      <w:tr>
        <w:trPr>
          <w:trHeight w:val="359" w:hRule="atLeast"/>
        </w:trPr>
        <w:tc>
          <w:tcPr>
            <w:tcW w:w="1800" w:type="dxa"/>
          </w:tcPr>
          <w:p>
            <w:pPr>
              <w:pStyle w:val="TableParagraph"/>
              <w:spacing w:before="37"/>
              <w:ind w:left="25" w:right="25"/>
              <w:rPr>
                <w:sz w:val="20"/>
              </w:rPr>
            </w:pPr>
            <w:r>
              <w:rPr>
                <w:sz w:val="20"/>
              </w:rPr>
              <w:t>Priority</w:t>
            </w:r>
            <w:r>
              <w:rPr>
                <w:spacing w:val="-8"/>
                <w:sz w:val="20"/>
              </w:rPr>
              <w:t> </w:t>
            </w:r>
            <w:r>
              <w:rPr>
                <w:spacing w:val="-10"/>
                <w:sz w:val="20"/>
              </w:rPr>
              <w:t>2</w:t>
            </w:r>
          </w:p>
        </w:tc>
        <w:tc>
          <w:tcPr>
            <w:tcW w:w="2600" w:type="dxa"/>
          </w:tcPr>
          <w:p>
            <w:pPr>
              <w:pStyle w:val="TableParagraph"/>
              <w:spacing w:before="37"/>
              <w:ind w:left="10"/>
              <w:rPr>
                <w:sz w:val="20"/>
              </w:rPr>
            </w:pPr>
            <w:r>
              <w:rPr>
                <w:sz w:val="20"/>
              </w:rPr>
              <w:t>&lt;4</w:t>
            </w:r>
            <w:r>
              <w:rPr>
                <w:spacing w:val="-5"/>
                <w:sz w:val="20"/>
              </w:rPr>
              <w:t> </w:t>
            </w:r>
            <w:r>
              <w:rPr>
                <w:sz w:val="20"/>
              </w:rPr>
              <w:t>business</w:t>
            </w:r>
            <w:r>
              <w:rPr>
                <w:spacing w:val="-5"/>
                <w:sz w:val="20"/>
              </w:rPr>
              <w:t> </w:t>
            </w:r>
            <w:r>
              <w:rPr>
                <w:spacing w:val="-2"/>
                <w:sz w:val="20"/>
              </w:rPr>
              <w:t>hours</w:t>
            </w:r>
          </w:p>
        </w:tc>
        <w:tc>
          <w:tcPr>
            <w:tcW w:w="2740" w:type="dxa"/>
          </w:tcPr>
          <w:p>
            <w:pPr>
              <w:pStyle w:val="TableParagraph"/>
              <w:spacing w:before="37"/>
              <w:ind w:left="10"/>
              <w:rPr>
                <w:sz w:val="20"/>
              </w:rPr>
            </w:pPr>
            <w:r>
              <w:rPr>
                <w:sz w:val="20"/>
              </w:rPr>
              <w:t>&lt;2</w:t>
            </w:r>
            <w:r>
              <w:rPr>
                <w:spacing w:val="-5"/>
                <w:sz w:val="20"/>
              </w:rPr>
              <w:t> </w:t>
            </w:r>
            <w:r>
              <w:rPr>
                <w:sz w:val="20"/>
              </w:rPr>
              <w:t>business</w:t>
            </w:r>
            <w:r>
              <w:rPr>
                <w:spacing w:val="-5"/>
                <w:sz w:val="20"/>
              </w:rPr>
              <w:t> </w:t>
            </w:r>
            <w:r>
              <w:rPr>
                <w:spacing w:val="-2"/>
                <w:sz w:val="20"/>
              </w:rPr>
              <w:t>hours</w:t>
            </w:r>
          </w:p>
        </w:tc>
        <w:tc>
          <w:tcPr>
            <w:tcW w:w="3400" w:type="dxa"/>
          </w:tcPr>
          <w:p>
            <w:pPr>
              <w:pStyle w:val="TableParagraph"/>
              <w:spacing w:before="37"/>
              <w:ind w:left="5"/>
              <w:rPr>
                <w:sz w:val="20"/>
              </w:rPr>
            </w:pPr>
            <w:r>
              <w:rPr>
                <w:sz w:val="20"/>
              </w:rPr>
              <w:t>&lt;1</w:t>
            </w:r>
            <w:r>
              <w:rPr>
                <w:spacing w:val="-3"/>
                <w:sz w:val="20"/>
              </w:rPr>
              <w:t> </w:t>
            </w:r>
            <w:r>
              <w:rPr>
                <w:sz w:val="20"/>
              </w:rPr>
              <w:t>hour</w:t>
            </w:r>
            <w:r>
              <w:rPr>
                <w:spacing w:val="-3"/>
                <w:sz w:val="20"/>
              </w:rPr>
              <w:t> </w:t>
            </w:r>
            <w:r>
              <w:rPr>
                <w:spacing w:val="-2"/>
                <w:sz w:val="20"/>
              </w:rPr>
              <w:t>(24x7x365)</w:t>
            </w:r>
          </w:p>
        </w:tc>
      </w:tr>
      <w:tr>
        <w:trPr>
          <w:trHeight w:val="340" w:hRule="atLeast"/>
        </w:trPr>
        <w:tc>
          <w:tcPr>
            <w:tcW w:w="1800" w:type="dxa"/>
          </w:tcPr>
          <w:p>
            <w:pPr>
              <w:pStyle w:val="TableParagraph"/>
              <w:spacing w:before="32"/>
              <w:ind w:left="25" w:right="25"/>
              <w:rPr>
                <w:sz w:val="20"/>
              </w:rPr>
            </w:pPr>
            <w:r>
              <w:rPr>
                <w:sz w:val="20"/>
              </w:rPr>
              <w:t>Priority</w:t>
            </w:r>
            <w:r>
              <w:rPr>
                <w:spacing w:val="-8"/>
                <w:sz w:val="20"/>
              </w:rPr>
              <w:t> </w:t>
            </w:r>
            <w:r>
              <w:rPr>
                <w:spacing w:val="-10"/>
                <w:sz w:val="20"/>
              </w:rPr>
              <w:t>3</w:t>
            </w:r>
          </w:p>
        </w:tc>
        <w:tc>
          <w:tcPr>
            <w:tcW w:w="2600" w:type="dxa"/>
          </w:tcPr>
          <w:p>
            <w:pPr>
              <w:pStyle w:val="TableParagraph"/>
              <w:spacing w:before="32"/>
              <w:ind w:left="10"/>
              <w:rPr>
                <w:sz w:val="20"/>
              </w:rPr>
            </w:pPr>
            <w:r>
              <w:rPr>
                <w:sz w:val="20"/>
              </w:rPr>
              <w:t>&lt;2</w:t>
            </w:r>
            <w:r>
              <w:rPr>
                <w:spacing w:val="-7"/>
                <w:sz w:val="20"/>
              </w:rPr>
              <w:t> </w:t>
            </w:r>
            <w:r>
              <w:rPr>
                <w:sz w:val="20"/>
              </w:rPr>
              <w:t>business</w:t>
            </w:r>
            <w:r>
              <w:rPr>
                <w:spacing w:val="-5"/>
                <w:sz w:val="20"/>
              </w:rPr>
              <w:t> </w:t>
            </w:r>
            <w:r>
              <w:rPr>
                <w:spacing w:val="-4"/>
                <w:sz w:val="20"/>
              </w:rPr>
              <w:t>days</w:t>
            </w:r>
          </w:p>
        </w:tc>
        <w:tc>
          <w:tcPr>
            <w:tcW w:w="2740" w:type="dxa"/>
          </w:tcPr>
          <w:p>
            <w:pPr>
              <w:pStyle w:val="TableParagraph"/>
              <w:spacing w:before="32"/>
              <w:ind w:left="10"/>
              <w:rPr>
                <w:sz w:val="20"/>
              </w:rPr>
            </w:pPr>
            <w:r>
              <w:rPr>
                <w:sz w:val="20"/>
              </w:rPr>
              <w:t>&lt;8</w:t>
            </w:r>
            <w:r>
              <w:rPr>
                <w:spacing w:val="-5"/>
                <w:sz w:val="20"/>
              </w:rPr>
              <w:t> </w:t>
            </w:r>
            <w:r>
              <w:rPr>
                <w:sz w:val="20"/>
              </w:rPr>
              <w:t>business</w:t>
            </w:r>
            <w:r>
              <w:rPr>
                <w:spacing w:val="-5"/>
                <w:sz w:val="20"/>
              </w:rPr>
              <w:t> </w:t>
            </w:r>
            <w:r>
              <w:rPr>
                <w:spacing w:val="-2"/>
                <w:sz w:val="20"/>
              </w:rPr>
              <w:t>hours</w:t>
            </w:r>
          </w:p>
        </w:tc>
        <w:tc>
          <w:tcPr>
            <w:tcW w:w="3400" w:type="dxa"/>
          </w:tcPr>
          <w:p>
            <w:pPr>
              <w:pStyle w:val="TableParagraph"/>
              <w:spacing w:before="32"/>
              <w:ind w:left="5"/>
              <w:rPr>
                <w:sz w:val="20"/>
              </w:rPr>
            </w:pPr>
            <w:r>
              <w:rPr>
                <w:sz w:val="20"/>
              </w:rPr>
              <w:t>&lt;3</w:t>
            </w:r>
            <w:r>
              <w:rPr>
                <w:spacing w:val="-5"/>
                <w:sz w:val="20"/>
              </w:rPr>
              <w:t> </w:t>
            </w:r>
            <w:r>
              <w:rPr>
                <w:sz w:val="20"/>
              </w:rPr>
              <w:t>business</w:t>
            </w:r>
            <w:r>
              <w:rPr>
                <w:spacing w:val="-5"/>
                <w:sz w:val="20"/>
              </w:rPr>
              <w:t> </w:t>
            </w:r>
            <w:r>
              <w:rPr>
                <w:spacing w:val="-2"/>
                <w:sz w:val="20"/>
              </w:rPr>
              <w:t>hours</w:t>
            </w:r>
          </w:p>
        </w:tc>
      </w:tr>
      <w:tr>
        <w:trPr>
          <w:trHeight w:val="360" w:hRule="atLeast"/>
        </w:trPr>
        <w:tc>
          <w:tcPr>
            <w:tcW w:w="1800" w:type="dxa"/>
          </w:tcPr>
          <w:p>
            <w:pPr>
              <w:pStyle w:val="TableParagraph"/>
              <w:spacing w:before="47"/>
              <w:ind w:left="25" w:right="25"/>
              <w:rPr>
                <w:sz w:val="20"/>
              </w:rPr>
            </w:pPr>
            <w:r>
              <w:rPr>
                <w:sz w:val="20"/>
              </w:rPr>
              <w:t>Priority</w:t>
            </w:r>
            <w:r>
              <w:rPr>
                <w:spacing w:val="-8"/>
                <w:sz w:val="20"/>
              </w:rPr>
              <w:t> </w:t>
            </w:r>
            <w:r>
              <w:rPr>
                <w:spacing w:val="-10"/>
                <w:sz w:val="20"/>
              </w:rPr>
              <w:t>4</w:t>
            </w:r>
          </w:p>
        </w:tc>
        <w:tc>
          <w:tcPr>
            <w:tcW w:w="2600" w:type="dxa"/>
          </w:tcPr>
          <w:p>
            <w:pPr>
              <w:pStyle w:val="TableParagraph"/>
              <w:spacing w:before="47"/>
              <w:ind w:left="10"/>
              <w:rPr>
                <w:sz w:val="20"/>
              </w:rPr>
            </w:pPr>
            <w:r>
              <w:rPr>
                <w:sz w:val="20"/>
              </w:rPr>
              <w:t>&lt;3</w:t>
            </w:r>
            <w:r>
              <w:rPr>
                <w:spacing w:val="-7"/>
                <w:sz w:val="20"/>
              </w:rPr>
              <w:t> </w:t>
            </w:r>
            <w:r>
              <w:rPr>
                <w:sz w:val="20"/>
              </w:rPr>
              <w:t>business</w:t>
            </w:r>
            <w:r>
              <w:rPr>
                <w:spacing w:val="-5"/>
                <w:sz w:val="20"/>
              </w:rPr>
              <w:t> </w:t>
            </w:r>
            <w:r>
              <w:rPr>
                <w:spacing w:val="-4"/>
                <w:sz w:val="20"/>
              </w:rPr>
              <w:t>days</w:t>
            </w:r>
          </w:p>
        </w:tc>
        <w:tc>
          <w:tcPr>
            <w:tcW w:w="2740" w:type="dxa"/>
          </w:tcPr>
          <w:p>
            <w:pPr>
              <w:pStyle w:val="TableParagraph"/>
              <w:spacing w:before="47"/>
              <w:ind w:left="10"/>
              <w:rPr>
                <w:sz w:val="20"/>
              </w:rPr>
            </w:pPr>
            <w:r>
              <w:rPr>
                <w:sz w:val="20"/>
              </w:rPr>
              <w:t>&lt;12</w:t>
            </w:r>
            <w:r>
              <w:rPr>
                <w:spacing w:val="-6"/>
                <w:sz w:val="20"/>
              </w:rPr>
              <w:t> </w:t>
            </w:r>
            <w:r>
              <w:rPr>
                <w:sz w:val="20"/>
              </w:rPr>
              <w:t>business</w:t>
            </w:r>
            <w:r>
              <w:rPr>
                <w:spacing w:val="-5"/>
                <w:sz w:val="20"/>
              </w:rPr>
              <w:t> </w:t>
            </w:r>
            <w:r>
              <w:rPr>
                <w:spacing w:val="-2"/>
                <w:sz w:val="20"/>
              </w:rPr>
              <w:t>hours</w:t>
            </w:r>
          </w:p>
        </w:tc>
        <w:tc>
          <w:tcPr>
            <w:tcW w:w="3400" w:type="dxa"/>
          </w:tcPr>
          <w:p>
            <w:pPr>
              <w:pStyle w:val="TableParagraph"/>
              <w:spacing w:before="47"/>
              <w:ind w:left="5"/>
              <w:rPr>
                <w:sz w:val="20"/>
              </w:rPr>
            </w:pPr>
            <w:r>
              <w:rPr>
                <w:sz w:val="20"/>
              </w:rPr>
              <w:t>&lt;6</w:t>
            </w:r>
            <w:r>
              <w:rPr>
                <w:spacing w:val="-5"/>
                <w:sz w:val="20"/>
              </w:rPr>
              <w:t> </w:t>
            </w:r>
            <w:r>
              <w:rPr>
                <w:sz w:val="20"/>
              </w:rPr>
              <w:t>business</w:t>
            </w:r>
            <w:r>
              <w:rPr>
                <w:spacing w:val="-5"/>
                <w:sz w:val="20"/>
              </w:rPr>
              <w:t> </w:t>
            </w:r>
            <w:r>
              <w:rPr>
                <w:spacing w:val="-2"/>
                <w:sz w:val="20"/>
              </w:rPr>
              <w:t>hours</w:t>
            </w:r>
          </w:p>
        </w:tc>
      </w:tr>
    </w:tbl>
    <w:p>
      <w:pPr>
        <w:pStyle w:val="BodyText"/>
        <w:spacing w:before="57"/>
        <w:ind w:left="0"/>
        <w:jc w:val="left"/>
      </w:pPr>
    </w:p>
    <w:p>
      <w:pPr>
        <w:pStyle w:val="Heading1"/>
        <w:numPr>
          <w:ilvl w:val="0"/>
          <w:numId w:val="1"/>
        </w:numPr>
        <w:tabs>
          <w:tab w:pos="370" w:val="left" w:leader="none"/>
        </w:tabs>
        <w:spacing w:line="240" w:lineRule="auto" w:before="0" w:after="0"/>
        <w:ind w:left="370" w:right="0" w:hanging="230"/>
        <w:jc w:val="both"/>
        <w:rPr>
          <w:b w:val="0"/>
        </w:rPr>
      </w:pPr>
      <w:r>
        <w:rPr/>
        <w:t>AVAILABILITY</w:t>
      </w:r>
      <w:r>
        <w:rPr>
          <w:spacing w:val="-8"/>
        </w:rPr>
        <w:t> </w:t>
      </w:r>
      <w:r>
        <w:rPr/>
        <w:t>AND</w:t>
      </w:r>
      <w:r>
        <w:rPr>
          <w:spacing w:val="-7"/>
        </w:rPr>
        <w:t> </w:t>
      </w:r>
      <w:r>
        <w:rPr/>
        <w:t>SERVICE</w:t>
      </w:r>
      <w:r>
        <w:rPr>
          <w:spacing w:val="-7"/>
        </w:rPr>
        <w:t> </w:t>
      </w:r>
      <w:r>
        <w:rPr/>
        <w:t>CREDITS</w:t>
      </w:r>
      <w:r>
        <w:rPr>
          <w:spacing w:val="-7"/>
        </w:rPr>
        <w:t> </w:t>
      </w:r>
      <w:r>
        <w:rPr>
          <w:b w:val="0"/>
          <w:spacing w:val="-10"/>
        </w:rPr>
        <w:t>-</w:t>
      </w:r>
    </w:p>
    <w:p>
      <w:pPr>
        <w:pStyle w:val="ListParagraph"/>
        <w:numPr>
          <w:ilvl w:val="1"/>
          <w:numId w:val="1"/>
        </w:numPr>
        <w:tabs>
          <w:tab w:pos="411" w:val="left" w:leader="none"/>
        </w:tabs>
        <w:spacing w:line="237" w:lineRule="auto" w:before="231" w:after="0"/>
        <w:ind w:left="140" w:right="220" w:firstLine="0"/>
        <w:jc w:val="both"/>
        <w:rPr>
          <w:sz w:val="20"/>
        </w:rPr>
      </w:pPr>
      <w:r>
        <w:rPr>
          <w:sz w:val="20"/>
        </w:rPr>
        <w:t>Service Credit Definition and Calculation. Subject to the exclusions noted below, if in any given month Subscriber reports a Priority 1 or 2 Issue, and it takes Appian longer than the percentage of</w:t>
      </w:r>
      <w:r>
        <w:rPr>
          <w:spacing w:val="-2"/>
          <w:sz w:val="20"/>
        </w:rPr>
        <w:t> </w:t>
      </w:r>
      <w:r>
        <w:rPr>
          <w:sz w:val="20"/>
        </w:rPr>
        <w:t>time</w:t>
      </w:r>
      <w:r>
        <w:rPr>
          <w:spacing w:val="-2"/>
          <w:sz w:val="20"/>
        </w:rPr>
        <w:t> </w:t>
      </w:r>
      <w:r>
        <w:rPr>
          <w:sz w:val="20"/>
        </w:rPr>
        <w:t>occurring</w:t>
      </w:r>
      <w:r>
        <w:rPr>
          <w:spacing w:val="-2"/>
          <w:sz w:val="20"/>
        </w:rPr>
        <w:t> </w:t>
      </w:r>
      <w:r>
        <w:rPr>
          <w:sz w:val="20"/>
        </w:rPr>
        <w:t>in</w:t>
      </w:r>
      <w:r>
        <w:rPr>
          <w:spacing w:val="-2"/>
          <w:sz w:val="20"/>
        </w:rPr>
        <w:t> </w:t>
      </w:r>
      <w:r>
        <w:rPr>
          <w:sz w:val="20"/>
        </w:rPr>
        <w:t>the</w:t>
      </w:r>
      <w:r>
        <w:rPr>
          <w:spacing w:val="-2"/>
          <w:sz w:val="20"/>
        </w:rPr>
        <w:t> </w:t>
      </w:r>
      <w:r>
        <w:rPr>
          <w:sz w:val="20"/>
        </w:rPr>
        <w:t>applicable</w:t>
      </w:r>
      <w:r>
        <w:rPr>
          <w:spacing w:val="-2"/>
          <w:sz w:val="20"/>
        </w:rPr>
        <w:t> </w:t>
      </w:r>
      <w:r>
        <w:rPr>
          <w:sz w:val="20"/>
        </w:rPr>
        <w:t>month noted below (“Aggregate Availability”) to provide a corresponding Correction in accordance with the applicable</w:t>
      </w:r>
      <w:r>
        <w:rPr>
          <w:spacing w:val="-5"/>
          <w:sz w:val="20"/>
        </w:rPr>
        <w:t> </w:t>
      </w:r>
      <w:r>
        <w:rPr>
          <w:sz w:val="20"/>
        </w:rPr>
        <w:t>Technical Support Availability hours noted in the chart above, Appian will provide Subscriber with a</w:t>
      </w:r>
      <w:r>
        <w:rPr>
          <w:spacing w:val="-3"/>
          <w:sz w:val="20"/>
        </w:rPr>
        <w:t> </w:t>
      </w:r>
      <w:r>
        <w:rPr>
          <w:sz w:val="20"/>
        </w:rPr>
        <w:t>credit</w:t>
      </w:r>
      <w:r>
        <w:rPr>
          <w:spacing w:val="-3"/>
          <w:sz w:val="20"/>
        </w:rPr>
        <w:t> </w:t>
      </w:r>
      <w:r>
        <w:rPr>
          <w:sz w:val="20"/>
        </w:rPr>
        <w:t>of</w:t>
      </w:r>
      <w:r>
        <w:rPr>
          <w:spacing w:val="-3"/>
          <w:sz w:val="20"/>
        </w:rPr>
        <w:t> </w:t>
      </w:r>
      <w:r>
        <w:rPr>
          <w:sz w:val="20"/>
        </w:rPr>
        <w:t>the</w:t>
      </w:r>
      <w:r>
        <w:rPr>
          <w:spacing w:val="-3"/>
          <w:sz w:val="20"/>
        </w:rPr>
        <w:t> </w:t>
      </w:r>
      <w:r>
        <w:rPr>
          <w:sz w:val="20"/>
        </w:rPr>
        <w:t>percentage</w:t>
      </w:r>
      <w:r>
        <w:rPr>
          <w:spacing w:val="-3"/>
          <w:sz w:val="20"/>
        </w:rPr>
        <w:t> </w:t>
      </w:r>
      <w:r>
        <w:rPr>
          <w:sz w:val="20"/>
        </w:rPr>
        <w:t>of</w:t>
      </w:r>
      <w:r>
        <w:rPr>
          <w:spacing w:val="-3"/>
          <w:sz w:val="20"/>
        </w:rPr>
        <w:t> </w:t>
      </w:r>
      <w:r>
        <w:rPr>
          <w:sz w:val="20"/>
        </w:rPr>
        <w:t>the sum of the applicable monthly subscription fee and monthly Support fees in effect during the applicable month in the amount described below (each such credit is referred to as a “Service Credit”). The Aggregate Availability for Priority 1 Issues</w:t>
      </w:r>
      <w:r>
        <w:rPr>
          <w:spacing w:val="40"/>
          <w:sz w:val="20"/>
        </w:rPr>
        <w:t> </w:t>
      </w:r>
      <w:r>
        <w:rPr>
          <w:sz w:val="20"/>
        </w:rPr>
        <w:t>is</w:t>
      </w:r>
      <w:r>
        <w:rPr>
          <w:spacing w:val="40"/>
          <w:sz w:val="20"/>
        </w:rPr>
        <w:t> </w:t>
      </w:r>
      <w:r>
        <w:rPr>
          <w:sz w:val="20"/>
        </w:rPr>
        <w:t>calculated</w:t>
      </w:r>
      <w:r>
        <w:rPr>
          <w:spacing w:val="40"/>
          <w:sz w:val="20"/>
        </w:rPr>
        <w:t> </w:t>
      </w:r>
      <w:r>
        <w:rPr>
          <w:sz w:val="20"/>
        </w:rPr>
        <w:t>as</w:t>
      </w:r>
      <w:r>
        <w:rPr>
          <w:spacing w:val="40"/>
          <w:sz w:val="20"/>
        </w:rPr>
        <w:t> </w:t>
      </w:r>
      <w:r>
        <w:rPr>
          <w:sz w:val="20"/>
        </w:rPr>
        <w:t>100</w:t>
      </w:r>
      <w:r>
        <w:rPr>
          <w:spacing w:val="40"/>
          <w:sz w:val="20"/>
        </w:rPr>
        <w:t> </w:t>
      </w:r>
      <w:r>
        <w:rPr>
          <w:sz w:val="20"/>
        </w:rPr>
        <w:t>percent</w:t>
      </w:r>
      <w:r>
        <w:rPr>
          <w:spacing w:val="40"/>
          <w:sz w:val="20"/>
        </w:rPr>
        <w:t> </w:t>
      </w:r>
      <w:r>
        <w:rPr>
          <w:sz w:val="20"/>
        </w:rPr>
        <w:t>minus</w:t>
      </w:r>
      <w:r>
        <w:rPr>
          <w:spacing w:val="40"/>
          <w:sz w:val="20"/>
        </w:rPr>
        <w:t> </w:t>
      </w:r>
      <w:r>
        <w:rPr>
          <w:sz w:val="20"/>
        </w:rPr>
        <w:t>the quotient of the time required by Appian to provide Corrections for all Priority 1 Issues reported in a month, divided by the total number of minutes occurring in that month. Likewise, the Aggregate</w:t>
      </w:r>
      <w:r>
        <w:rPr>
          <w:spacing w:val="40"/>
          <w:sz w:val="20"/>
        </w:rPr>
        <w:t> </w:t>
      </w:r>
      <w:r>
        <w:rPr>
          <w:sz w:val="20"/>
        </w:rPr>
        <w:t>Availability</w:t>
      </w:r>
      <w:r>
        <w:rPr>
          <w:spacing w:val="40"/>
          <w:sz w:val="20"/>
        </w:rPr>
        <w:t> </w:t>
      </w:r>
      <w:r>
        <w:rPr>
          <w:sz w:val="20"/>
        </w:rPr>
        <w:t>for</w:t>
      </w:r>
      <w:r>
        <w:rPr>
          <w:spacing w:val="40"/>
          <w:sz w:val="20"/>
        </w:rPr>
        <w:t> </w:t>
      </w:r>
      <w:r>
        <w:rPr>
          <w:sz w:val="20"/>
        </w:rPr>
        <w:t>Priority</w:t>
      </w:r>
      <w:r>
        <w:rPr>
          <w:spacing w:val="40"/>
          <w:sz w:val="20"/>
        </w:rPr>
        <w:t> </w:t>
      </w:r>
      <w:r>
        <w:rPr>
          <w:sz w:val="20"/>
        </w:rPr>
        <w:t>2</w:t>
      </w:r>
      <w:r>
        <w:rPr>
          <w:spacing w:val="40"/>
          <w:sz w:val="20"/>
        </w:rPr>
        <w:t> </w:t>
      </w:r>
      <w:r>
        <w:rPr>
          <w:sz w:val="20"/>
        </w:rPr>
        <w:t>Issues</w:t>
      </w:r>
      <w:r>
        <w:rPr>
          <w:spacing w:val="40"/>
          <w:sz w:val="20"/>
        </w:rPr>
        <w:t> </w:t>
      </w:r>
      <w:r>
        <w:rPr>
          <w:sz w:val="20"/>
        </w:rPr>
        <w:t>is</w:t>
      </w:r>
      <w:r>
        <w:rPr>
          <w:spacing w:val="40"/>
          <w:sz w:val="20"/>
        </w:rPr>
        <w:t> </w:t>
      </w:r>
      <w:r>
        <w:rPr>
          <w:sz w:val="20"/>
        </w:rPr>
        <w:t>calculated as +100 percent minus the quotient of the time required by Appian to provide Corrections for all Priority 2 Issues reported in a month divided by the total number of minutes occurring in that month. The Service Credits are Appian’s exclusive obligation, and Subscriber’s sole remedy associated with any Issues. A Priority 1 Issue may not be reported both as a Priority 1 and a Priority 2 Issue.</w:t>
      </w:r>
    </w:p>
    <w:p>
      <w:pPr>
        <w:pStyle w:val="BodyText"/>
        <w:spacing w:before="10"/>
        <w:ind w:left="0"/>
        <w:jc w:val="left"/>
        <w:rPr>
          <w:sz w:val="16"/>
        </w:rPr>
      </w:pPr>
    </w:p>
    <w:tbl>
      <w:tblPr>
        <w:tblW w:w="0" w:type="auto"/>
        <w:jc w:val="left"/>
        <w:tblInd w:w="3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940"/>
        <w:gridCol w:w="2320"/>
        <w:gridCol w:w="2240"/>
        <w:gridCol w:w="2460"/>
        <w:gridCol w:w="1420"/>
      </w:tblGrid>
      <w:tr>
        <w:trPr>
          <w:trHeight w:val="600" w:hRule="atLeast"/>
        </w:trPr>
        <w:tc>
          <w:tcPr>
            <w:tcW w:w="1940" w:type="dxa"/>
            <w:vMerge w:val="restart"/>
            <w:shd w:val="clear" w:color="auto" w:fill="0A5394"/>
          </w:tcPr>
          <w:p>
            <w:pPr>
              <w:pStyle w:val="TableParagraph"/>
              <w:jc w:val="left"/>
              <w:rPr>
                <w:sz w:val="20"/>
              </w:rPr>
            </w:pPr>
          </w:p>
          <w:p>
            <w:pPr>
              <w:pStyle w:val="TableParagraph"/>
              <w:spacing w:before="154"/>
              <w:jc w:val="left"/>
              <w:rPr>
                <w:sz w:val="20"/>
              </w:rPr>
            </w:pPr>
          </w:p>
          <w:p>
            <w:pPr>
              <w:pStyle w:val="TableParagraph"/>
              <w:ind w:left="298"/>
              <w:jc w:val="left"/>
              <w:rPr>
                <w:b/>
                <w:sz w:val="20"/>
              </w:rPr>
            </w:pPr>
            <w:r>
              <w:rPr>
                <w:b/>
                <w:color w:val="FFFFFF"/>
                <w:sz w:val="20"/>
              </w:rPr>
              <w:t>Priority</w:t>
            </w:r>
            <w:r>
              <w:rPr>
                <w:b/>
                <w:color w:val="FFFFFF"/>
                <w:spacing w:val="-8"/>
                <w:sz w:val="20"/>
              </w:rPr>
              <w:t> </w:t>
            </w:r>
            <w:r>
              <w:rPr>
                <w:b/>
                <w:color w:val="FFFFFF"/>
                <w:spacing w:val="-2"/>
                <w:sz w:val="20"/>
              </w:rPr>
              <w:t>Level</w:t>
            </w:r>
          </w:p>
        </w:tc>
        <w:tc>
          <w:tcPr>
            <w:tcW w:w="7020" w:type="dxa"/>
            <w:gridSpan w:val="3"/>
            <w:shd w:val="clear" w:color="auto" w:fill="0A5394"/>
          </w:tcPr>
          <w:p>
            <w:pPr>
              <w:pStyle w:val="TableParagraph"/>
              <w:spacing w:before="50"/>
              <w:jc w:val="left"/>
              <w:rPr>
                <w:sz w:val="20"/>
              </w:rPr>
            </w:pPr>
          </w:p>
          <w:p>
            <w:pPr>
              <w:pStyle w:val="TableParagraph"/>
              <w:ind w:left="20"/>
              <w:rPr>
                <w:b/>
                <w:sz w:val="20"/>
              </w:rPr>
            </w:pPr>
            <w:r>
              <w:rPr>
                <w:b/>
                <w:color w:val="FFFFFF"/>
                <w:sz w:val="20"/>
              </w:rPr>
              <w:t>Monthly</w:t>
            </w:r>
            <w:r>
              <w:rPr>
                <w:b/>
                <w:color w:val="FFFFFF"/>
                <w:spacing w:val="-10"/>
                <w:sz w:val="20"/>
              </w:rPr>
              <w:t> </w:t>
            </w:r>
            <w:r>
              <w:rPr>
                <w:b/>
                <w:color w:val="FFFFFF"/>
                <w:sz w:val="20"/>
              </w:rPr>
              <w:t>Availability</w:t>
            </w:r>
            <w:r>
              <w:rPr>
                <w:b/>
                <w:color w:val="FFFFFF"/>
                <w:spacing w:val="-9"/>
                <w:sz w:val="20"/>
              </w:rPr>
              <w:t> </w:t>
            </w:r>
            <w:r>
              <w:rPr>
                <w:b/>
                <w:color w:val="FFFFFF"/>
                <w:spacing w:val="-10"/>
                <w:sz w:val="20"/>
              </w:rPr>
              <w:t>%</w:t>
            </w:r>
          </w:p>
        </w:tc>
        <w:tc>
          <w:tcPr>
            <w:tcW w:w="1420" w:type="dxa"/>
            <w:vMerge w:val="restart"/>
            <w:shd w:val="clear" w:color="auto" w:fill="0A5394"/>
          </w:tcPr>
          <w:p>
            <w:pPr>
              <w:pStyle w:val="TableParagraph"/>
              <w:spacing w:before="125"/>
              <w:jc w:val="left"/>
              <w:rPr>
                <w:sz w:val="20"/>
              </w:rPr>
            </w:pPr>
          </w:p>
          <w:p>
            <w:pPr>
              <w:pStyle w:val="TableParagraph"/>
              <w:spacing w:line="268" w:lineRule="auto"/>
              <w:ind w:left="344" w:right="314" w:firstLine="1"/>
              <w:jc w:val="left"/>
              <w:rPr>
                <w:b/>
                <w:sz w:val="20"/>
              </w:rPr>
            </w:pPr>
            <w:r>
              <w:rPr>
                <w:b/>
                <w:color w:val="FFFFFF"/>
                <w:spacing w:val="-2"/>
                <w:sz w:val="20"/>
              </w:rPr>
              <w:t>Service Credit*</w:t>
            </w:r>
          </w:p>
        </w:tc>
      </w:tr>
      <w:tr>
        <w:trPr>
          <w:trHeight w:val="320" w:hRule="atLeast"/>
        </w:trPr>
        <w:tc>
          <w:tcPr>
            <w:tcW w:w="1940" w:type="dxa"/>
            <w:vMerge/>
            <w:tcBorders>
              <w:top w:val="nil"/>
            </w:tcBorders>
            <w:shd w:val="clear" w:color="auto" w:fill="0A5394"/>
          </w:tcPr>
          <w:p>
            <w:pPr>
              <w:rPr>
                <w:sz w:val="2"/>
                <w:szCs w:val="2"/>
              </w:rPr>
            </w:pPr>
          </w:p>
        </w:tc>
        <w:tc>
          <w:tcPr>
            <w:tcW w:w="2320" w:type="dxa"/>
            <w:shd w:val="clear" w:color="auto" w:fill="0A5394"/>
          </w:tcPr>
          <w:p>
            <w:pPr>
              <w:pStyle w:val="TableParagraph"/>
              <w:spacing w:before="17"/>
              <w:ind w:left="25"/>
              <w:rPr>
                <w:b/>
                <w:sz w:val="20"/>
              </w:rPr>
            </w:pPr>
            <w:r>
              <w:rPr>
                <w:b/>
                <w:color w:val="FFFFFF"/>
                <w:sz w:val="20"/>
              </w:rPr>
              <w:t>Basic</w:t>
            </w:r>
            <w:r>
              <w:rPr>
                <w:b/>
                <w:color w:val="FFFFFF"/>
                <w:spacing w:val="-4"/>
                <w:sz w:val="20"/>
              </w:rPr>
              <w:t> </w:t>
            </w:r>
            <w:r>
              <w:rPr>
                <w:b/>
                <w:color w:val="FFFFFF"/>
                <w:sz w:val="20"/>
              </w:rPr>
              <w:t>and</w:t>
            </w:r>
            <w:r>
              <w:rPr>
                <w:b/>
                <w:color w:val="FFFFFF"/>
                <w:spacing w:val="-4"/>
                <w:sz w:val="20"/>
              </w:rPr>
              <w:t> </w:t>
            </w:r>
            <w:r>
              <w:rPr>
                <w:b/>
                <w:color w:val="FFFFFF"/>
                <w:spacing w:val="-2"/>
                <w:sz w:val="20"/>
              </w:rPr>
              <w:t>Essential</w:t>
            </w:r>
          </w:p>
        </w:tc>
        <w:tc>
          <w:tcPr>
            <w:tcW w:w="2240" w:type="dxa"/>
            <w:shd w:val="clear" w:color="auto" w:fill="0A5394"/>
          </w:tcPr>
          <w:p>
            <w:pPr>
              <w:pStyle w:val="TableParagraph"/>
              <w:spacing w:before="17"/>
              <w:ind w:left="25"/>
              <w:rPr>
                <w:b/>
                <w:sz w:val="20"/>
              </w:rPr>
            </w:pPr>
            <w:r>
              <w:rPr>
                <w:b/>
                <w:color w:val="FFFFFF"/>
                <w:spacing w:val="-2"/>
                <w:sz w:val="20"/>
              </w:rPr>
              <w:t>Advanced</w:t>
            </w:r>
          </w:p>
        </w:tc>
        <w:tc>
          <w:tcPr>
            <w:tcW w:w="2460" w:type="dxa"/>
            <w:shd w:val="clear" w:color="auto" w:fill="0A5394"/>
          </w:tcPr>
          <w:p>
            <w:pPr>
              <w:pStyle w:val="TableParagraph"/>
              <w:spacing w:before="17"/>
              <w:ind w:left="20"/>
              <w:rPr>
                <w:b/>
                <w:sz w:val="20"/>
              </w:rPr>
            </w:pPr>
            <w:r>
              <w:rPr>
                <w:b/>
                <w:color w:val="FFFFFF"/>
                <w:spacing w:val="-2"/>
                <w:sz w:val="20"/>
              </w:rPr>
              <w:t>Enterprise</w:t>
            </w:r>
          </w:p>
        </w:tc>
        <w:tc>
          <w:tcPr>
            <w:tcW w:w="1420" w:type="dxa"/>
            <w:vMerge/>
            <w:tcBorders>
              <w:top w:val="nil"/>
            </w:tcBorders>
            <w:shd w:val="clear" w:color="auto" w:fill="0A5394"/>
          </w:tcPr>
          <w:p>
            <w:pPr>
              <w:rPr>
                <w:sz w:val="2"/>
                <w:szCs w:val="2"/>
              </w:rPr>
            </w:pPr>
          </w:p>
        </w:tc>
      </w:tr>
      <w:tr>
        <w:trPr>
          <w:trHeight w:val="319" w:hRule="atLeast"/>
        </w:trPr>
        <w:tc>
          <w:tcPr>
            <w:tcW w:w="1940" w:type="dxa"/>
            <w:vMerge w:val="restart"/>
          </w:tcPr>
          <w:p>
            <w:pPr>
              <w:pStyle w:val="TableParagraph"/>
              <w:spacing w:before="194"/>
              <w:ind w:left="569"/>
              <w:jc w:val="left"/>
              <w:rPr>
                <w:sz w:val="20"/>
              </w:rPr>
            </w:pPr>
            <w:r>
              <w:rPr>
                <w:sz w:val="20"/>
              </w:rPr>
              <w:t>Priority</w:t>
            </w:r>
            <w:r>
              <w:rPr>
                <w:spacing w:val="-8"/>
                <w:sz w:val="20"/>
              </w:rPr>
              <w:t> </w:t>
            </w:r>
            <w:r>
              <w:rPr>
                <w:spacing w:val="-10"/>
                <w:sz w:val="20"/>
              </w:rPr>
              <w:t>1</w:t>
            </w:r>
          </w:p>
        </w:tc>
        <w:tc>
          <w:tcPr>
            <w:tcW w:w="2320" w:type="dxa"/>
          </w:tcPr>
          <w:p>
            <w:pPr>
              <w:pStyle w:val="TableParagraph"/>
              <w:spacing w:before="22"/>
              <w:ind w:left="25"/>
              <w:rPr>
                <w:sz w:val="20"/>
              </w:rPr>
            </w:pPr>
            <w:r>
              <w:rPr>
                <w:sz w:val="20"/>
              </w:rPr>
              <w:t>&lt;99.8%</w:t>
            </w:r>
            <w:r>
              <w:rPr>
                <w:spacing w:val="-4"/>
                <w:sz w:val="20"/>
              </w:rPr>
              <w:t> </w:t>
            </w:r>
            <w:r>
              <w:rPr>
                <w:sz w:val="20"/>
              </w:rPr>
              <w:t>but</w:t>
            </w:r>
            <w:r>
              <w:rPr>
                <w:spacing w:val="-3"/>
                <w:sz w:val="20"/>
              </w:rPr>
              <w:t> </w:t>
            </w:r>
            <w:r>
              <w:rPr>
                <w:sz w:val="20"/>
              </w:rPr>
              <w:t>≥</w:t>
            </w:r>
            <w:r>
              <w:rPr>
                <w:spacing w:val="-3"/>
                <w:sz w:val="20"/>
              </w:rPr>
              <w:t> </w:t>
            </w:r>
            <w:r>
              <w:rPr>
                <w:spacing w:val="-2"/>
                <w:sz w:val="20"/>
              </w:rPr>
              <w:t>99.0%</w:t>
            </w:r>
          </w:p>
        </w:tc>
        <w:tc>
          <w:tcPr>
            <w:tcW w:w="2240" w:type="dxa"/>
          </w:tcPr>
          <w:p>
            <w:pPr>
              <w:pStyle w:val="TableParagraph"/>
              <w:spacing w:before="22"/>
              <w:ind w:left="25"/>
              <w:rPr>
                <w:sz w:val="20"/>
              </w:rPr>
            </w:pPr>
            <w:r>
              <w:rPr>
                <w:sz w:val="20"/>
              </w:rPr>
              <w:t>&lt;99.95%</w:t>
            </w:r>
            <w:r>
              <w:rPr>
                <w:spacing w:val="-4"/>
                <w:sz w:val="20"/>
              </w:rPr>
              <w:t> </w:t>
            </w:r>
            <w:r>
              <w:rPr>
                <w:sz w:val="20"/>
              </w:rPr>
              <w:t>but</w:t>
            </w:r>
            <w:r>
              <w:rPr>
                <w:spacing w:val="-4"/>
                <w:sz w:val="20"/>
              </w:rPr>
              <w:t> </w:t>
            </w:r>
            <w:r>
              <w:rPr>
                <w:sz w:val="20"/>
              </w:rPr>
              <w:t>≥</w:t>
            </w:r>
            <w:r>
              <w:rPr>
                <w:spacing w:val="-3"/>
                <w:sz w:val="20"/>
              </w:rPr>
              <w:t> </w:t>
            </w:r>
            <w:r>
              <w:rPr>
                <w:spacing w:val="-2"/>
                <w:sz w:val="20"/>
              </w:rPr>
              <w:t>99.0%</w:t>
            </w:r>
          </w:p>
        </w:tc>
        <w:tc>
          <w:tcPr>
            <w:tcW w:w="2460" w:type="dxa"/>
          </w:tcPr>
          <w:p>
            <w:pPr>
              <w:pStyle w:val="TableParagraph"/>
              <w:spacing w:before="22"/>
              <w:ind w:left="20"/>
              <w:rPr>
                <w:sz w:val="20"/>
              </w:rPr>
            </w:pPr>
            <w:r>
              <w:rPr>
                <w:sz w:val="20"/>
              </w:rPr>
              <w:t>&lt;99.99%</w:t>
            </w:r>
            <w:r>
              <w:rPr>
                <w:spacing w:val="-4"/>
                <w:sz w:val="20"/>
              </w:rPr>
              <w:t> </w:t>
            </w:r>
            <w:r>
              <w:rPr>
                <w:sz w:val="20"/>
              </w:rPr>
              <w:t>but</w:t>
            </w:r>
            <w:r>
              <w:rPr>
                <w:spacing w:val="-4"/>
                <w:sz w:val="20"/>
              </w:rPr>
              <w:t> </w:t>
            </w:r>
            <w:r>
              <w:rPr>
                <w:sz w:val="20"/>
              </w:rPr>
              <w:t>≥</w:t>
            </w:r>
            <w:r>
              <w:rPr>
                <w:spacing w:val="-3"/>
                <w:sz w:val="20"/>
              </w:rPr>
              <w:t> </w:t>
            </w:r>
            <w:r>
              <w:rPr>
                <w:spacing w:val="-2"/>
                <w:sz w:val="20"/>
              </w:rPr>
              <w:t>99.0%</w:t>
            </w:r>
          </w:p>
        </w:tc>
        <w:tc>
          <w:tcPr>
            <w:tcW w:w="1420" w:type="dxa"/>
          </w:tcPr>
          <w:p>
            <w:pPr>
              <w:pStyle w:val="TableParagraph"/>
              <w:spacing w:before="22"/>
              <w:ind w:left="25"/>
              <w:rPr>
                <w:sz w:val="20"/>
              </w:rPr>
            </w:pPr>
            <w:r>
              <w:rPr>
                <w:spacing w:val="-5"/>
                <w:sz w:val="20"/>
              </w:rPr>
              <w:t>10%</w:t>
            </w:r>
          </w:p>
        </w:tc>
      </w:tr>
      <w:tr>
        <w:trPr>
          <w:trHeight w:val="319" w:hRule="atLeast"/>
        </w:trPr>
        <w:tc>
          <w:tcPr>
            <w:tcW w:w="1940" w:type="dxa"/>
            <w:vMerge/>
            <w:tcBorders>
              <w:top w:val="nil"/>
            </w:tcBorders>
          </w:tcPr>
          <w:p>
            <w:pPr>
              <w:rPr>
                <w:sz w:val="2"/>
                <w:szCs w:val="2"/>
              </w:rPr>
            </w:pPr>
          </w:p>
        </w:tc>
        <w:tc>
          <w:tcPr>
            <w:tcW w:w="2320" w:type="dxa"/>
          </w:tcPr>
          <w:p>
            <w:pPr>
              <w:pStyle w:val="TableParagraph"/>
              <w:spacing w:before="27"/>
              <w:ind w:left="25"/>
              <w:rPr>
                <w:sz w:val="20"/>
              </w:rPr>
            </w:pPr>
            <w:r>
              <w:rPr>
                <w:spacing w:val="-2"/>
                <w:sz w:val="20"/>
              </w:rPr>
              <w:t>&lt;99.0%</w:t>
            </w:r>
          </w:p>
        </w:tc>
        <w:tc>
          <w:tcPr>
            <w:tcW w:w="2240" w:type="dxa"/>
          </w:tcPr>
          <w:p>
            <w:pPr>
              <w:pStyle w:val="TableParagraph"/>
              <w:spacing w:before="27"/>
              <w:ind w:left="25"/>
              <w:rPr>
                <w:sz w:val="20"/>
              </w:rPr>
            </w:pPr>
            <w:r>
              <w:rPr>
                <w:spacing w:val="-2"/>
                <w:sz w:val="20"/>
              </w:rPr>
              <w:t>&lt;99.0%</w:t>
            </w:r>
          </w:p>
        </w:tc>
        <w:tc>
          <w:tcPr>
            <w:tcW w:w="2460" w:type="dxa"/>
          </w:tcPr>
          <w:p>
            <w:pPr>
              <w:pStyle w:val="TableParagraph"/>
              <w:spacing w:before="27"/>
              <w:ind w:left="20"/>
              <w:rPr>
                <w:sz w:val="20"/>
              </w:rPr>
            </w:pPr>
            <w:r>
              <w:rPr>
                <w:spacing w:val="-2"/>
                <w:sz w:val="20"/>
              </w:rPr>
              <w:t>&lt;99.0%</w:t>
            </w:r>
          </w:p>
        </w:tc>
        <w:tc>
          <w:tcPr>
            <w:tcW w:w="1420" w:type="dxa"/>
          </w:tcPr>
          <w:p>
            <w:pPr>
              <w:pStyle w:val="TableParagraph"/>
              <w:spacing w:before="27"/>
              <w:ind w:left="25"/>
              <w:rPr>
                <w:sz w:val="20"/>
              </w:rPr>
            </w:pPr>
            <w:r>
              <w:rPr>
                <w:spacing w:val="-5"/>
                <w:sz w:val="20"/>
              </w:rPr>
              <w:t>30%</w:t>
            </w:r>
          </w:p>
        </w:tc>
      </w:tr>
      <w:tr>
        <w:trPr>
          <w:trHeight w:val="340" w:hRule="atLeast"/>
        </w:trPr>
        <w:tc>
          <w:tcPr>
            <w:tcW w:w="1940" w:type="dxa"/>
          </w:tcPr>
          <w:p>
            <w:pPr>
              <w:pStyle w:val="TableParagraph"/>
              <w:spacing w:before="32"/>
              <w:ind w:left="569"/>
              <w:jc w:val="left"/>
              <w:rPr>
                <w:sz w:val="20"/>
              </w:rPr>
            </w:pPr>
            <w:r>
              <w:rPr>
                <w:sz w:val="20"/>
              </w:rPr>
              <w:t>Priority</w:t>
            </w:r>
            <w:r>
              <w:rPr>
                <w:spacing w:val="-8"/>
                <w:sz w:val="20"/>
              </w:rPr>
              <w:t> </w:t>
            </w:r>
            <w:r>
              <w:rPr>
                <w:spacing w:val="-10"/>
                <w:sz w:val="20"/>
              </w:rPr>
              <w:t>2</w:t>
            </w:r>
          </w:p>
        </w:tc>
        <w:tc>
          <w:tcPr>
            <w:tcW w:w="2320" w:type="dxa"/>
          </w:tcPr>
          <w:p>
            <w:pPr>
              <w:pStyle w:val="TableParagraph"/>
              <w:spacing w:before="32"/>
              <w:ind w:left="25"/>
              <w:rPr>
                <w:sz w:val="20"/>
              </w:rPr>
            </w:pPr>
            <w:r>
              <w:rPr>
                <w:spacing w:val="-2"/>
                <w:sz w:val="20"/>
              </w:rPr>
              <w:t>&lt;99.0%</w:t>
            </w:r>
          </w:p>
        </w:tc>
        <w:tc>
          <w:tcPr>
            <w:tcW w:w="2240" w:type="dxa"/>
          </w:tcPr>
          <w:p>
            <w:pPr>
              <w:pStyle w:val="TableParagraph"/>
              <w:spacing w:before="32"/>
              <w:ind w:left="25"/>
              <w:rPr>
                <w:sz w:val="20"/>
              </w:rPr>
            </w:pPr>
            <w:r>
              <w:rPr>
                <w:spacing w:val="-2"/>
                <w:sz w:val="20"/>
              </w:rPr>
              <w:t>&lt;99.0%</w:t>
            </w:r>
          </w:p>
        </w:tc>
        <w:tc>
          <w:tcPr>
            <w:tcW w:w="2460" w:type="dxa"/>
          </w:tcPr>
          <w:p>
            <w:pPr>
              <w:pStyle w:val="TableParagraph"/>
              <w:spacing w:before="32"/>
              <w:ind w:left="20"/>
              <w:rPr>
                <w:sz w:val="20"/>
              </w:rPr>
            </w:pPr>
            <w:r>
              <w:rPr>
                <w:spacing w:val="-2"/>
                <w:sz w:val="20"/>
              </w:rPr>
              <w:t>&lt;99.0%</w:t>
            </w:r>
          </w:p>
        </w:tc>
        <w:tc>
          <w:tcPr>
            <w:tcW w:w="1420" w:type="dxa"/>
          </w:tcPr>
          <w:p>
            <w:pPr>
              <w:pStyle w:val="TableParagraph"/>
              <w:spacing w:before="32"/>
              <w:ind w:left="25"/>
              <w:rPr>
                <w:sz w:val="20"/>
              </w:rPr>
            </w:pPr>
            <w:r>
              <w:rPr>
                <w:spacing w:val="-5"/>
                <w:sz w:val="20"/>
              </w:rPr>
              <w:t>15%</w:t>
            </w:r>
          </w:p>
        </w:tc>
      </w:tr>
    </w:tbl>
    <w:p>
      <w:pPr>
        <w:pStyle w:val="BodyText"/>
        <w:spacing w:line="237" w:lineRule="auto" w:before="191"/>
        <w:ind w:right="223"/>
      </w:pPr>
      <w:r>
        <w:rPr/>
        <w:t>*Credit percentages are</w:t>
      </w:r>
      <w:r>
        <w:rPr>
          <w:spacing w:val="-3"/>
        </w:rPr>
        <w:t> </w:t>
      </w:r>
      <w:r>
        <w:rPr/>
        <w:t>as</w:t>
      </w:r>
      <w:r>
        <w:rPr>
          <w:spacing w:val="-3"/>
        </w:rPr>
        <w:t> </w:t>
      </w:r>
      <w:r>
        <w:rPr/>
        <w:t>a</w:t>
      </w:r>
      <w:r>
        <w:rPr>
          <w:spacing w:val="-3"/>
        </w:rPr>
        <w:t> </w:t>
      </w:r>
      <w:r>
        <w:rPr/>
        <w:t>percentage</w:t>
      </w:r>
      <w:r>
        <w:rPr>
          <w:spacing w:val="-3"/>
        </w:rPr>
        <w:t> </w:t>
      </w:r>
      <w:r>
        <w:rPr/>
        <w:t>of</w:t>
      </w:r>
      <w:r>
        <w:rPr>
          <w:spacing w:val="-3"/>
        </w:rPr>
        <w:t> </w:t>
      </w:r>
      <w:r>
        <w:rPr/>
        <w:t>the</w:t>
      </w:r>
      <w:r>
        <w:rPr>
          <w:spacing w:val="-3"/>
        </w:rPr>
        <w:t> </w:t>
      </w:r>
      <w:r>
        <w:rPr/>
        <w:t>sum</w:t>
      </w:r>
      <w:r>
        <w:rPr>
          <w:spacing w:val="-3"/>
        </w:rPr>
        <w:t> </w:t>
      </w:r>
      <w:r>
        <w:rPr/>
        <w:t>of</w:t>
      </w:r>
      <w:r>
        <w:rPr>
          <w:spacing w:val="-3"/>
        </w:rPr>
        <w:t> </w:t>
      </w:r>
      <w:r>
        <w:rPr/>
        <w:t>monthly</w:t>
      </w:r>
      <w:r>
        <w:rPr>
          <w:spacing w:val="-3"/>
        </w:rPr>
        <w:t> </w:t>
      </w:r>
      <w:r>
        <w:rPr/>
        <w:t>applicable</w:t>
      </w:r>
      <w:r>
        <w:rPr>
          <w:spacing w:val="-3"/>
        </w:rPr>
        <w:t> </w:t>
      </w:r>
      <w:r>
        <w:rPr/>
        <w:t>subscription</w:t>
      </w:r>
      <w:r>
        <w:rPr>
          <w:spacing w:val="-3"/>
        </w:rPr>
        <w:t> </w:t>
      </w:r>
      <w:r>
        <w:rPr/>
        <w:t>fee</w:t>
      </w:r>
      <w:r>
        <w:rPr>
          <w:spacing w:val="-3"/>
        </w:rPr>
        <w:t> </w:t>
      </w:r>
      <w:r>
        <w:rPr/>
        <w:t>for</w:t>
      </w:r>
      <w:r>
        <w:rPr>
          <w:spacing w:val="-3"/>
        </w:rPr>
        <w:t> </w:t>
      </w:r>
      <w:r>
        <w:rPr/>
        <w:t>Subscriber’s</w:t>
      </w:r>
      <w:r>
        <w:rPr>
          <w:spacing w:val="-3"/>
        </w:rPr>
        <w:t> </w:t>
      </w:r>
      <w:r>
        <w:rPr/>
        <w:t>subscription</w:t>
      </w:r>
      <w:r>
        <w:rPr>
          <w:spacing w:val="-3"/>
        </w:rPr>
        <w:t> </w:t>
      </w:r>
      <w:r>
        <w:rPr/>
        <w:t>to use the Cloud Offering and the monthly Support fees in the applicable Order Form. If the subscription fee for</w:t>
      </w:r>
      <w:r>
        <w:rPr>
          <w:spacing w:val="-3"/>
        </w:rPr>
        <w:t> </w:t>
      </w:r>
      <w:r>
        <w:rPr/>
        <w:t>the</w:t>
      </w:r>
      <w:r>
        <w:rPr>
          <w:spacing w:val="-3"/>
        </w:rPr>
        <w:t> </w:t>
      </w:r>
      <w:r>
        <w:rPr/>
        <w:t>Cloud Offering is paid other than monthly, the monthly subscription fee shall be calculated as the pro rata equivalent of one month of the subscription fee specified in the applicable Order Form.</w:t>
      </w:r>
    </w:p>
    <w:p>
      <w:pPr>
        <w:pStyle w:val="ListParagraph"/>
        <w:numPr>
          <w:ilvl w:val="1"/>
          <w:numId w:val="1"/>
        </w:numPr>
        <w:tabs>
          <w:tab w:pos="416" w:val="left" w:leader="none"/>
        </w:tabs>
        <w:spacing w:line="242" w:lineRule="auto" w:before="232" w:after="0"/>
        <w:ind w:left="140" w:right="222" w:firstLine="0"/>
        <w:jc w:val="both"/>
        <w:rPr>
          <w:sz w:val="20"/>
        </w:rPr>
      </w:pPr>
      <w:r>
        <w:rPr>
          <w:b/>
          <w:sz w:val="20"/>
        </w:rPr>
        <w:t>Requesting Service Credits </w:t>
      </w:r>
      <w:r>
        <w:rPr>
          <w:sz w:val="20"/>
        </w:rPr>
        <w:t>- Subscriber must request Service Credits, in writing, within 30 calendar days after Appian provides the corresponding Correction. Service Credits not requested within this time shall expire.</w:t>
      </w:r>
    </w:p>
    <w:p>
      <w:pPr>
        <w:spacing w:after="0" w:line="242" w:lineRule="auto"/>
        <w:jc w:val="both"/>
        <w:rPr>
          <w:sz w:val="20"/>
        </w:rPr>
        <w:sectPr>
          <w:footerReference w:type="default" r:id="rId14"/>
          <w:pgSz w:w="12240" w:h="15840"/>
          <w:pgMar w:header="0" w:footer="419" w:top="900" w:bottom="600" w:left="580" w:right="500"/>
          <w:pgNumType w:start="2"/>
        </w:sectPr>
      </w:pPr>
    </w:p>
    <w:p>
      <w:pPr>
        <w:pStyle w:val="ListParagraph"/>
        <w:numPr>
          <w:ilvl w:val="1"/>
          <w:numId w:val="1"/>
        </w:numPr>
        <w:tabs>
          <w:tab w:pos="383" w:val="left" w:leader="none"/>
        </w:tabs>
        <w:spacing w:line="242" w:lineRule="auto" w:before="77" w:after="0"/>
        <w:ind w:left="140" w:right="228" w:firstLine="0"/>
        <w:jc w:val="both"/>
        <w:rPr>
          <w:sz w:val="20"/>
        </w:rPr>
      </w:pPr>
      <w:r>
        <w:rPr>
          <w:b/>
          <w:sz w:val="20"/>
        </w:rPr>
        <w:t>Exclusions. </w:t>
      </w:r>
      <w:r>
        <w:rPr>
          <w:sz w:val="20"/>
        </w:rPr>
        <w:t>Issues caused by any of the following situations shall not trigger Appian’s obligations under this Service Level Agreement:</w:t>
      </w:r>
    </w:p>
    <w:p>
      <w:pPr>
        <w:pStyle w:val="ListParagraph"/>
        <w:numPr>
          <w:ilvl w:val="2"/>
          <w:numId w:val="1"/>
        </w:numPr>
        <w:tabs>
          <w:tab w:pos="498" w:val="left" w:leader="none"/>
          <w:tab w:pos="500" w:val="left" w:leader="none"/>
        </w:tabs>
        <w:spacing w:line="232" w:lineRule="auto" w:before="233" w:after="0"/>
        <w:ind w:left="500" w:right="222" w:hanging="360"/>
        <w:jc w:val="both"/>
        <w:rPr>
          <w:sz w:val="20"/>
        </w:rPr>
      </w:pPr>
      <w:r>
        <w:rPr>
          <w:sz w:val="20"/>
        </w:rPr>
        <w:t>Any time the Cloud Offering is not available as a result of scheduled maintenance activities, Subscriber initiated maintenance or any other agreed-to scheduled downtime activity;</w:t>
      </w:r>
    </w:p>
    <w:p>
      <w:pPr>
        <w:pStyle w:val="ListParagraph"/>
        <w:numPr>
          <w:ilvl w:val="2"/>
          <w:numId w:val="1"/>
        </w:numPr>
        <w:tabs>
          <w:tab w:pos="498" w:val="left" w:leader="none"/>
          <w:tab w:pos="500" w:val="left" w:leader="none"/>
        </w:tabs>
        <w:spacing w:line="240" w:lineRule="auto" w:before="1" w:after="0"/>
        <w:ind w:left="500" w:right="229" w:hanging="360"/>
        <w:jc w:val="both"/>
        <w:rPr>
          <w:sz w:val="20"/>
        </w:rPr>
      </w:pPr>
      <w:r>
        <w:rPr>
          <w:sz w:val="20"/>
        </w:rPr>
        <w:t>Unavailability of or errors in the Cloud Offering due to the following, to the extent developed by or incorporated by Subscriber or its agents: (I) modifications or plug-ins to the Cloud Offering, or (II) unsupported programming, unsupported integrations or malicious activities;</w:t>
      </w:r>
    </w:p>
    <w:p>
      <w:pPr>
        <w:pStyle w:val="ListParagraph"/>
        <w:numPr>
          <w:ilvl w:val="2"/>
          <w:numId w:val="1"/>
        </w:numPr>
        <w:tabs>
          <w:tab w:pos="498" w:val="left" w:leader="none"/>
          <w:tab w:pos="500" w:val="left" w:leader="none"/>
        </w:tabs>
        <w:spacing w:line="237" w:lineRule="auto" w:before="0" w:after="0"/>
        <w:ind w:left="500" w:right="225" w:hanging="360"/>
        <w:jc w:val="left"/>
        <w:rPr>
          <w:sz w:val="20"/>
        </w:rPr>
      </w:pPr>
      <w:r>
        <w:rPr>
          <w:sz w:val="20"/>
        </w:rPr>
        <w:t>Unavailability of or errors in the Cloud</w:t>
      </w:r>
      <w:r>
        <w:rPr>
          <w:spacing w:val="-3"/>
          <w:sz w:val="20"/>
        </w:rPr>
        <w:t> </w:t>
      </w:r>
      <w:r>
        <w:rPr>
          <w:sz w:val="20"/>
        </w:rPr>
        <w:t>Offering</w:t>
      </w:r>
      <w:r>
        <w:rPr>
          <w:spacing w:val="-3"/>
          <w:sz w:val="20"/>
        </w:rPr>
        <w:t> </w:t>
      </w:r>
      <w:r>
        <w:rPr>
          <w:sz w:val="20"/>
        </w:rPr>
        <w:t>as</w:t>
      </w:r>
      <w:r>
        <w:rPr>
          <w:spacing w:val="-3"/>
          <w:sz w:val="20"/>
        </w:rPr>
        <w:t> </w:t>
      </w:r>
      <w:r>
        <w:rPr>
          <w:sz w:val="20"/>
        </w:rPr>
        <w:t>a</w:t>
      </w:r>
      <w:r>
        <w:rPr>
          <w:spacing w:val="-3"/>
          <w:sz w:val="20"/>
        </w:rPr>
        <w:t> </w:t>
      </w:r>
      <w:r>
        <w:rPr>
          <w:sz w:val="20"/>
        </w:rPr>
        <w:t>result</w:t>
      </w:r>
      <w:r>
        <w:rPr>
          <w:spacing w:val="-3"/>
          <w:sz w:val="20"/>
        </w:rPr>
        <w:t> </w:t>
      </w:r>
      <w:r>
        <w:rPr>
          <w:sz w:val="20"/>
        </w:rPr>
        <w:t>of</w:t>
      </w:r>
      <w:r>
        <w:rPr>
          <w:spacing w:val="-3"/>
          <w:sz w:val="20"/>
        </w:rPr>
        <w:t> </w:t>
      </w:r>
      <w:r>
        <w:rPr>
          <w:sz w:val="20"/>
        </w:rPr>
        <w:t>Subscriber</w:t>
      </w:r>
      <w:r>
        <w:rPr>
          <w:spacing w:val="-3"/>
          <w:sz w:val="20"/>
        </w:rPr>
        <w:t> </w:t>
      </w:r>
      <w:r>
        <w:rPr>
          <w:sz w:val="20"/>
        </w:rPr>
        <w:t>using</w:t>
      </w:r>
      <w:r>
        <w:rPr>
          <w:spacing w:val="-3"/>
          <w:sz w:val="20"/>
        </w:rPr>
        <w:t> </w:t>
      </w:r>
      <w:r>
        <w:rPr>
          <w:sz w:val="20"/>
        </w:rPr>
        <w:t>the</w:t>
      </w:r>
      <w:r>
        <w:rPr>
          <w:spacing w:val="-3"/>
          <w:sz w:val="20"/>
        </w:rPr>
        <w:t> </w:t>
      </w:r>
      <w:r>
        <w:rPr>
          <w:sz w:val="20"/>
        </w:rPr>
        <w:t>Cloud</w:t>
      </w:r>
      <w:r>
        <w:rPr>
          <w:spacing w:val="-3"/>
          <w:sz w:val="20"/>
        </w:rPr>
        <w:t> </w:t>
      </w:r>
      <w:r>
        <w:rPr>
          <w:sz w:val="20"/>
        </w:rPr>
        <w:t>Offering</w:t>
      </w:r>
      <w:r>
        <w:rPr>
          <w:spacing w:val="-3"/>
          <w:sz w:val="20"/>
        </w:rPr>
        <w:t> </w:t>
      </w:r>
      <w:r>
        <w:rPr>
          <w:sz w:val="20"/>
        </w:rPr>
        <w:t>contrary</w:t>
      </w:r>
      <w:r>
        <w:rPr>
          <w:spacing w:val="-3"/>
          <w:sz w:val="20"/>
        </w:rPr>
        <w:t> </w:t>
      </w:r>
      <w:r>
        <w:rPr>
          <w:sz w:val="20"/>
        </w:rPr>
        <w:t>to</w:t>
      </w:r>
      <w:r>
        <w:rPr>
          <w:spacing w:val="-3"/>
          <w:sz w:val="20"/>
        </w:rPr>
        <w:t> </w:t>
      </w:r>
      <w:r>
        <w:rPr>
          <w:sz w:val="20"/>
        </w:rPr>
        <w:t>the</w:t>
      </w:r>
      <w:r>
        <w:rPr>
          <w:spacing w:val="-3"/>
          <w:sz w:val="20"/>
        </w:rPr>
        <w:t> </w:t>
      </w:r>
      <w:r>
        <w:rPr>
          <w:sz w:val="20"/>
        </w:rPr>
        <w:t>then current Documentation;</w:t>
      </w:r>
    </w:p>
    <w:p>
      <w:pPr>
        <w:pStyle w:val="ListParagraph"/>
        <w:numPr>
          <w:ilvl w:val="2"/>
          <w:numId w:val="1"/>
        </w:numPr>
        <w:tabs>
          <w:tab w:pos="498" w:val="left" w:leader="none"/>
          <w:tab w:pos="500" w:val="left" w:leader="none"/>
        </w:tabs>
        <w:spacing w:line="235" w:lineRule="auto" w:before="35" w:after="0"/>
        <w:ind w:left="500" w:right="218" w:hanging="360"/>
        <w:jc w:val="left"/>
        <w:rPr>
          <w:sz w:val="20"/>
        </w:rPr>
      </w:pPr>
      <w:r>
        <w:rPr>
          <w:sz w:val="20"/>
        </w:rPr>
        <w:t>Events</w:t>
      </w:r>
      <w:r>
        <w:rPr>
          <w:spacing w:val="40"/>
          <w:sz w:val="20"/>
        </w:rPr>
        <w:t> </w:t>
      </w:r>
      <w:r>
        <w:rPr>
          <w:sz w:val="20"/>
        </w:rPr>
        <w:t>outside</w:t>
      </w:r>
      <w:r>
        <w:rPr>
          <w:spacing w:val="40"/>
          <w:sz w:val="20"/>
        </w:rPr>
        <w:t> </w:t>
      </w:r>
      <w:r>
        <w:rPr>
          <w:sz w:val="20"/>
        </w:rPr>
        <w:t>Appian’s</w:t>
      </w:r>
      <w:r>
        <w:rPr>
          <w:spacing w:val="40"/>
          <w:sz w:val="20"/>
        </w:rPr>
        <w:t> </w:t>
      </w:r>
      <w:r>
        <w:rPr>
          <w:sz w:val="20"/>
        </w:rPr>
        <w:t>reasonable</w:t>
      </w:r>
      <w:r>
        <w:rPr>
          <w:spacing w:val="40"/>
          <w:sz w:val="20"/>
        </w:rPr>
        <w:t> </w:t>
      </w:r>
      <w:r>
        <w:rPr>
          <w:sz w:val="20"/>
        </w:rPr>
        <w:t>control,</w:t>
      </w:r>
      <w:r>
        <w:rPr>
          <w:spacing w:val="40"/>
          <w:sz w:val="20"/>
        </w:rPr>
        <w:t> </w:t>
      </w:r>
      <w:r>
        <w:rPr>
          <w:sz w:val="20"/>
        </w:rPr>
        <w:t>not</w:t>
      </w:r>
      <w:r>
        <w:rPr>
          <w:spacing w:val="40"/>
          <w:sz w:val="20"/>
        </w:rPr>
        <w:t> </w:t>
      </w:r>
      <w:r>
        <w:rPr>
          <w:sz w:val="20"/>
        </w:rPr>
        <w:t>caused</w:t>
      </w:r>
      <w:r>
        <w:rPr>
          <w:spacing w:val="40"/>
          <w:sz w:val="20"/>
        </w:rPr>
        <w:t> </w:t>
      </w:r>
      <w:r>
        <w:rPr>
          <w:sz w:val="20"/>
        </w:rPr>
        <w:t>by</w:t>
      </w:r>
      <w:r>
        <w:rPr>
          <w:spacing w:val="40"/>
          <w:sz w:val="20"/>
        </w:rPr>
        <w:t> </w:t>
      </w:r>
      <w:r>
        <w:rPr>
          <w:sz w:val="20"/>
        </w:rPr>
        <w:t>Appian’s</w:t>
      </w:r>
      <w:r>
        <w:rPr>
          <w:spacing w:val="40"/>
          <w:sz w:val="20"/>
        </w:rPr>
        <w:t> </w:t>
      </w:r>
      <w:r>
        <w:rPr>
          <w:sz w:val="20"/>
        </w:rPr>
        <w:t>fault</w:t>
      </w:r>
      <w:r>
        <w:rPr>
          <w:spacing w:val="40"/>
          <w:sz w:val="20"/>
        </w:rPr>
        <w:t> </w:t>
      </w:r>
      <w:r>
        <w:rPr>
          <w:sz w:val="20"/>
        </w:rPr>
        <w:t>or</w:t>
      </w:r>
      <w:r>
        <w:rPr>
          <w:spacing w:val="40"/>
          <w:sz w:val="20"/>
        </w:rPr>
        <w:t> </w:t>
      </w:r>
      <w:r>
        <w:rPr>
          <w:sz w:val="20"/>
        </w:rPr>
        <w:t>negligence,</w:t>
      </w:r>
      <w:r>
        <w:rPr>
          <w:spacing w:val="40"/>
          <w:sz w:val="20"/>
        </w:rPr>
        <w:t> </w:t>
      </w:r>
      <w:r>
        <w:rPr>
          <w:sz w:val="20"/>
        </w:rPr>
        <w:t>or</w:t>
      </w:r>
      <w:r>
        <w:rPr>
          <w:spacing w:val="40"/>
          <w:sz w:val="20"/>
        </w:rPr>
        <w:t> </w:t>
      </w:r>
      <w:r>
        <w:rPr>
          <w:sz w:val="20"/>
        </w:rPr>
        <w:t>Subscriber</w:t>
      </w:r>
      <w:r>
        <w:rPr>
          <w:spacing w:val="40"/>
          <w:sz w:val="20"/>
        </w:rPr>
        <w:t> </w:t>
      </w:r>
      <w:r>
        <w:rPr>
          <w:sz w:val="20"/>
        </w:rPr>
        <w:t>provided infrastructure or integration being unavailable;</w:t>
      </w:r>
    </w:p>
    <w:p>
      <w:pPr>
        <w:pStyle w:val="ListParagraph"/>
        <w:numPr>
          <w:ilvl w:val="2"/>
          <w:numId w:val="1"/>
        </w:numPr>
        <w:tabs>
          <w:tab w:pos="500" w:val="left" w:leader="none"/>
        </w:tabs>
        <w:spacing w:line="235" w:lineRule="auto" w:before="37" w:after="0"/>
        <w:ind w:left="500" w:right="224" w:hanging="360"/>
        <w:jc w:val="left"/>
        <w:rPr>
          <w:sz w:val="20"/>
        </w:rPr>
      </w:pPr>
      <w:r>
        <w:rPr>
          <w:sz w:val="20"/>
        </w:rPr>
        <w:t>Any time the Cloud Offering is not available as a result of Subscriber exceeding</w:t>
      </w:r>
      <w:r>
        <w:rPr>
          <w:spacing w:val="-3"/>
          <w:sz w:val="20"/>
        </w:rPr>
        <w:t> </w:t>
      </w:r>
      <w:r>
        <w:rPr>
          <w:sz w:val="20"/>
        </w:rPr>
        <w:t>the</w:t>
      </w:r>
      <w:r>
        <w:rPr>
          <w:spacing w:val="-3"/>
          <w:sz w:val="20"/>
        </w:rPr>
        <w:t> </w:t>
      </w:r>
      <w:r>
        <w:rPr>
          <w:sz w:val="20"/>
        </w:rPr>
        <w:t>IT</w:t>
      </w:r>
      <w:r>
        <w:rPr>
          <w:spacing w:val="-3"/>
          <w:sz w:val="20"/>
        </w:rPr>
        <w:t> </w:t>
      </w:r>
      <w:r>
        <w:rPr>
          <w:sz w:val="20"/>
        </w:rPr>
        <w:t>resources</w:t>
      </w:r>
      <w:r>
        <w:rPr>
          <w:spacing w:val="-3"/>
          <w:sz w:val="20"/>
        </w:rPr>
        <w:t> </w:t>
      </w:r>
      <w:r>
        <w:rPr>
          <w:sz w:val="20"/>
        </w:rPr>
        <w:t>allocated</w:t>
      </w:r>
      <w:r>
        <w:rPr>
          <w:spacing w:val="-3"/>
          <w:sz w:val="20"/>
        </w:rPr>
        <w:t> </w:t>
      </w:r>
      <w:r>
        <w:rPr>
          <w:sz w:val="20"/>
        </w:rPr>
        <w:t>under</w:t>
      </w:r>
      <w:r>
        <w:rPr>
          <w:spacing w:val="-3"/>
          <w:sz w:val="20"/>
        </w:rPr>
        <w:t> </w:t>
      </w:r>
      <w:r>
        <w:rPr>
          <w:sz w:val="20"/>
        </w:rPr>
        <w:t>the applicable Order Form (memory, RAM).</w:t>
      </w:r>
    </w:p>
    <w:p>
      <w:pPr>
        <w:pStyle w:val="ListParagraph"/>
        <w:numPr>
          <w:ilvl w:val="0"/>
          <w:numId w:val="1"/>
        </w:numPr>
        <w:tabs>
          <w:tab w:pos="399" w:val="left" w:leader="none"/>
        </w:tabs>
        <w:spacing w:line="240" w:lineRule="auto" w:before="234" w:after="0"/>
        <w:ind w:left="140" w:right="220" w:firstLine="0"/>
        <w:jc w:val="both"/>
        <w:rPr>
          <w:sz w:val="20"/>
        </w:rPr>
      </w:pPr>
      <w:r>
        <w:rPr>
          <w:b/>
          <w:sz w:val="20"/>
        </w:rPr>
        <w:t>TERMINATION </w:t>
      </w:r>
      <w:r>
        <w:rPr>
          <w:sz w:val="20"/>
        </w:rPr>
        <w:t>- Subscriber may terminate the Agreement for cause if Appian refunds to Subscriber the maximum amount of Service Credits to Subscriber for Priority 1 Issues in any</w:t>
      </w:r>
      <w:r>
        <w:rPr>
          <w:spacing w:val="-3"/>
          <w:sz w:val="20"/>
        </w:rPr>
        <w:t> </w:t>
      </w:r>
      <w:r>
        <w:rPr>
          <w:sz w:val="20"/>
        </w:rPr>
        <w:t>two</w:t>
      </w:r>
      <w:r>
        <w:rPr>
          <w:spacing w:val="-3"/>
          <w:sz w:val="20"/>
        </w:rPr>
        <w:t> </w:t>
      </w:r>
      <w:r>
        <w:rPr>
          <w:sz w:val="20"/>
        </w:rPr>
        <w:t>consecutive</w:t>
      </w:r>
      <w:r>
        <w:rPr>
          <w:spacing w:val="-3"/>
          <w:sz w:val="20"/>
        </w:rPr>
        <w:t> </w:t>
      </w:r>
      <w:r>
        <w:rPr>
          <w:sz w:val="20"/>
        </w:rPr>
        <w:t>months,</w:t>
      </w:r>
      <w:r>
        <w:rPr>
          <w:spacing w:val="-3"/>
          <w:sz w:val="20"/>
        </w:rPr>
        <w:t> </w:t>
      </w:r>
      <w:r>
        <w:rPr>
          <w:sz w:val="20"/>
        </w:rPr>
        <w:t>provided</w:t>
      </w:r>
      <w:r>
        <w:rPr>
          <w:spacing w:val="-3"/>
          <w:sz w:val="20"/>
        </w:rPr>
        <w:t> </w:t>
      </w:r>
      <w:r>
        <w:rPr>
          <w:sz w:val="20"/>
        </w:rPr>
        <w:t>Subscriber</w:t>
      </w:r>
      <w:r>
        <w:rPr>
          <w:spacing w:val="-3"/>
          <w:sz w:val="20"/>
        </w:rPr>
        <w:t> </w:t>
      </w:r>
      <w:r>
        <w:rPr>
          <w:sz w:val="20"/>
        </w:rPr>
        <w:t>notifies Appian of its intent to elect this remedy, in writing, within 30 calendar days after the second month.</w:t>
      </w:r>
    </w:p>
    <w:p>
      <w:pPr>
        <w:pStyle w:val="ListParagraph"/>
        <w:numPr>
          <w:ilvl w:val="0"/>
          <w:numId w:val="1"/>
        </w:numPr>
        <w:tabs>
          <w:tab w:pos="405" w:val="left" w:leader="none"/>
        </w:tabs>
        <w:spacing w:line="240" w:lineRule="auto" w:before="236" w:after="0"/>
        <w:ind w:left="140" w:right="223" w:firstLine="0"/>
        <w:jc w:val="both"/>
        <w:rPr>
          <w:b/>
          <w:sz w:val="20"/>
        </w:rPr>
      </w:pPr>
      <w:r>
        <w:rPr>
          <w:b/>
          <w:sz w:val="20"/>
        </w:rPr>
        <w:t>AUTHORITY OF SUPPORT CONTACTS</w:t>
      </w:r>
      <w:r>
        <w:rPr>
          <w:sz w:val="20"/>
        </w:rPr>
        <w:t>.</w:t>
      </w:r>
      <w:r>
        <w:rPr>
          <w:spacing w:val="80"/>
          <w:w w:val="150"/>
          <w:sz w:val="20"/>
        </w:rPr>
        <w:t> </w:t>
      </w:r>
      <w:r>
        <w:rPr>
          <w:sz w:val="20"/>
        </w:rPr>
        <w:t>Notwithstanding anything else</w:t>
      </w:r>
      <w:r>
        <w:rPr>
          <w:spacing w:val="-3"/>
          <w:sz w:val="20"/>
        </w:rPr>
        <w:t> </w:t>
      </w:r>
      <w:r>
        <w:rPr>
          <w:sz w:val="20"/>
        </w:rPr>
        <w:t>to</w:t>
      </w:r>
      <w:r>
        <w:rPr>
          <w:spacing w:val="-3"/>
          <w:sz w:val="20"/>
        </w:rPr>
        <w:t> </w:t>
      </w:r>
      <w:r>
        <w:rPr>
          <w:sz w:val="20"/>
        </w:rPr>
        <w:t>the</w:t>
      </w:r>
      <w:r>
        <w:rPr>
          <w:spacing w:val="-3"/>
          <w:sz w:val="20"/>
        </w:rPr>
        <w:t> </w:t>
      </w:r>
      <w:r>
        <w:rPr>
          <w:sz w:val="20"/>
        </w:rPr>
        <w:t>contrary</w:t>
      </w:r>
      <w:r>
        <w:rPr>
          <w:spacing w:val="-3"/>
          <w:sz w:val="20"/>
        </w:rPr>
        <w:t> </w:t>
      </w:r>
      <w:r>
        <w:rPr>
          <w:sz w:val="20"/>
        </w:rPr>
        <w:t>in</w:t>
      </w:r>
      <w:r>
        <w:rPr>
          <w:spacing w:val="-3"/>
          <w:sz w:val="20"/>
        </w:rPr>
        <w:t> </w:t>
      </w:r>
      <w:r>
        <w:rPr>
          <w:sz w:val="20"/>
        </w:rPr>
        <w:t>any</w:t>
      </w:r>
      <w:r>
        <w:rPr>
          <w:spacing w:val="-3"/>
          <w:sz w:val="20"/>
        </w:rPr>
        <w:t> </w:t>
      </w:r>
      <w:r>
        <w:rPr>
          <w:sz w:val="20"/>
        </w:rPr>
        <w:t>agreement</w:t>
      </w:r>
      <w:r>
        <w:rPr>
          <w:spacing w:val="-3"/>
          <w:sz w:val="20"/>
        </w:rPr>
        <w:t> </w:t>
      </w:r>
      <w:r>
        <w:rPr>
          <w:sz w:val="20"/>
        </w:rPr>
        <w:t>between the parties, Subscriber agrees that Subscriber’s</w:t>
      </w:r>
      <w:r>
        <w:rPr>
          <w:spacing w:val="-3"/>
          <w:sz w:val="20"/>
        </w:rPr>
        <w:t> </w:t>
      </w:r>
      <w:r>
        <w:rPr>
          <w:sz w:val="20"/>
        </w:rPr>
        <w:t>Designated</w:t>
      </w:r>
      <w:r>
        <w:rPr>
          <w:spacing w:val="-3"/>
          <w:sz w:val="20"/>
        </w:rPr>
        <w:t> </w:t>
      </w:r>
      <w:r>
        <w:rPr>
          <w:sz w:val="20"/>
        </w:rPr>
        <w:t>Support</w:t>
      </w:r>
      <w:r>
        <w:rPr>
          <w:spacing w:val="-3"/>
          <w:sz w:val="20"/>
        </w:rPr>
        <w:t> </w:t>
      </w:r>
      <w:r>
        <w:rPr>
          <w:sz w:val="20"/>
        </w:rPr>
        <w:t>Contacts</w:t>
      </w:r>
      <w:r>
        <w:rPr>
          <w:spacing w:val="-3"/>
          <w:sz w:val="20"/>
        </w:rPr>
        <w:t> </w:t>
      </w:r>
      <w:r>
        <w:rPr>
          <w:sz w:val="20"/>
        </w:rPr>
        <w:t>shall</w:t>
      </w:r>
      <w:r>
        <w:rPr>
          <w:spacing w:val="-3"/>
          <w:sz w:val="20"/>
        </w:rPr>
        <w:t> </w:t>
      </w:r>
      <w:r>
        <w:rPr>
          <w:sz w:val="20"/>
        </w:rPr>
        <w:t>have</w:t>
      </w:r>
      <w:r>
        <w:rPr>
          <w:spacing w:val="-3"/>
          <w:sz w:val="20"/>
        </w:rPr>
        <w:t> </w:t>
      </w:r>
      <w:r>
        <w:rPr>
          <w:sz w:val="20"/>
        </w:rPr>
        <w:t>the</w:t>
      </w:r>
      <w:r>
        <w:rPr>
          <w:spacing w:val="-3"/>
          <w:sz w:val="20"/>
        </w:rPr>
        <w:t> </w:t>
      </w:r>
      <w:r>
        <w:rPr>
          <w:sz w:val="20"/>
        </w:rPr>
        <w:t>authority</w:t>
      </w:r>
      <w:r>
        <w:rPr>
          <w:spacing w:val="-3"/>
          <w:sz w:val="20"/>
        </w:rPr>
        <w:t> </w:t>
      </w:r>
      <w:r>
        <w:rPr>
          <w:sz w:val="20"/>
        </w:rPr>
        <w:t>to</w:t>
      </w:r>
      <w:r>
        <w:rPr>
          <w:spacing w:val="-3"/>
          <w:sz w:val="20"/>
        </w:rPr>
        <w:t> </w:t>
      </w:r>
      <w:r>
        <w:rPr>
          <w:sz w:val="20"/>
        </w:rPr>
        <w:t>enable</w:t>
      </w:r>
      <w:r>
        <w:rPr>
          <w:spacing w:val="-3"/>
          <w:sz w:val="20"/>
        </w:rPr>
        <w:t> </w:t>
      </w:r>
      <w:r>
        <w:rPr>
          <w:sz w:val="20"/>
        </w:rPr>
        <w:t>or</w:t>
      </w:r>
      <w:r>
        <w:rPr>
          <w:spacing w:val="-3"/>
          <w:sz w:val="20"/>
        </w:rPr>
        <w:t> </w:t>
      </w:r>
      <w:r>
        <w:rPr>
          <w:sz w:val="20"/>
        </w:rPr>
        <w:t>disable security and other features in Subscriber’s instances of the Cloud Offering and consent to the maintenance, monitoring and analysis of Subscriber’s instances.</w:t>
      </w:r>
    </w:p>
    <w:p>
      <w:pPr>
        <w:pStyle w:val="BodyText"/>
        <w:spacing w:before="33"/>
        <w:ind w:left="0"/>
        <w:jc w:val="left"/>
      </w:pPr>
    </w:p>
    <w:p>
      <w:pPr>
        <w:pStyle w:val="ListParagraph"/>
        <w:numPr>
          <w:ilvl w:val="0"/>
          <w:numId w:val="1"/>
        </w:numPr>
        <w:tabs>
          <w:tab w:pos="401" w:val="left" w:leader="none"/>
        </w:tabs>
        <w:spacing w:line="237" w:lineRule="auto" w:before="0" w:after="0"/>
        <w:ind w:left="140" w:right="222" w:firstLine="0"/>
        <w:jc w:val="both"/>
        <w:rPr>
          <w:b/>
          <w:sz w:val="20"/>
        </w:rPr>
      </w:pPr>
      <w:r>
        <w:rPr>
          <w:b/>
          <w:sz w:val="20"/>
        </w:rPr>
        <w:t>DEFINITIONS- </w:t>
      </w:r>
      <w:r>
        <w:rPr>
          <w:sz w:val="20"/>
        </w:rPr>
        <w:t>The terms defined in this Section 6</w:t>
      </w:r>
      <w:r>
        <w:rPr>
          <w:spacing w:val="-3"/>
          <w:sz w:val="20"/>
        </w:rPr>
        <w:t> </w:t>
      </w:r>
      <w:r>
        <w:rPr>
          <w:sz w:val="20"/>
        </w:rPr>
        <w:t>as</w:t>
      </w:r>
      <w:r>
        <w:rPr>
          <w:spacing w:val="-3"/>
          <w:sz w:val="20"/>
        </w:rPr>
        <w:t> </w:t>
      </w:r>
      <w:r>
        <w:rPr>
          <w:sz w:val="20"/>
        </w:rPr>
        <w:t>well</w:t>
      </w:r>
      <w:r>
        <w:rPr>
          <w:spacing w:val="-3"/>
          <w:sz w:val="20"/>
        </w:rPr>
        <w:t> </w:t>
      </w:r>
      <w:r>
        <w:rPr>
          <w:sz w:val="20"/>
        </w:rPr>
        <w:t>as</w:t>
      </w:r>
      <w:r>
        <w:rPr>
          <w:spacing w:val="-3"/>
          <w:sz w:val="20"/>
        </w:rPr>
        <w:t> </w:t>
      </w:r>
      <w:r>
        <w:rPr>
          <w:sz w:val="20"/>
        </w:rPr>
        <w:t>terms</w:t>
      </w:r>
      <w:r>
        <w:rPr>
          <w:spacing w:val="-3"/>
          <w:sz w:val="20"/>
        </w:rPr>
        <w:t> </w:t>
      </w:r>
      <w:r>
        <w:rPr>
          <w:sz w:val="20"/>
        </w:rPr>
        <w:t>defined</w:t>
      </w:r>
      <w:r>
        <w:rPr>
          <w:spacing w:val="-3"/>
          <w:sz w:val="20"/>
        </w:rPr>
        <w:t> </w:t>
      </w:r>
      <w:r>
        <w:rPr>
          <w:sz w:val="20"/>
        </w:rPr>
        <w:t>in</w:t>
      </w:r>
      <w:r>
        <w:rPr>
          <w:spacing w:val="-3"/>
          <w:sz w:val="20"/>
        </w:rPr>
        <w:t> </w:t>
      </w:r>
      <w:r>
        <w:rPr>
          <w:sz w:val="20"/>
        </w:rPr>
        <w:t>the</w:t>
      </w:r>
      <w:r>
        <w:rPr>
          <w:spacing w:val="-3"/>
          <w:sz w:val="20"/>
        </w:rPr>
        <w:t> </w:t>
      </w:r>
      <w:r>
        <w:rPr>
          <w:sz w:val="20"/>
        </w:rPr>
        <w:t>Cloud</w:t>
      </w:r>
      <w:r>
        <w:rPr>
          <w:spacing w:val="-3"/>
          <w:sz w:val="20"/>
        </w:rPr>
        <w:t> </w:t>
      </w:r>
      <w:r>
        <w:rPr>
          <w:sz w:val="20"/>
        </w:rPr>
        <w:t>Subscription</w:t>
      </w:r>
      <w:r>
        <w:rPr>
          <w:spacing w:val="-3"/>
          <w:sz w:val="20"/>
        </w:rPr>
        <w:t> </w:t>
      </w:r>
      <w:r>
        <w:rPr>
          <w:sz w:val="20"/>
        </w:rPr>
        <w:t>Agreement</w:t>
      </w:r>
      <w:r>
        <w:rPr>
          <w:spacing w:val="-3"/>
          <w:sz w:val="20"/>
        </w:rPr>
        <w:t> </w:t>
      </w:r>
      <w:r>
        <w:rPr>
          <w:sz w:val="20"/>
        </w:rPr>
        <w:t>(or similar master terms and conditions)</w:t>
      </w:r>
      <w:r>
        <w:rPr>
          <w:spacing w:val="-3"/>
          <w:sz w:val="20"/>
        </w:rPr>
        <w:t> </w:t>
      </w:r>
      <w:r>
        <w:rPr>
          <w:sz w:val="20"/>
        </w:rPr>
        <w:t>agreed</w:t>
      </w:r>
      <w:r>
        <w:rPr>
          <w:spacing w:val="-3"/>
          <w:sz w:val="20"/>
        </w:rPr>
        <w:t> </w:t>
      </w:r>
      <w:r>
        <w:rPr>
          <w:sz w:val="20"/>
        </w:rPr>
        <w:t>to</w:t>
      </w:r>
      <w:r>
        <w:rPr>
          <w:spacing w:val="-3"/>
          <w:sz w:val="20"/>
        </w:rPr>
        <w:t> </w:t>
      </w:r>
      <w:r>
        <w:rPr>
          <w:sz w:val="20"/>
        </w:rPr>
        <w:t>between</w:t>
      </w:r>
      <w:r>
        <w:rPr>
          <w:spacing w:val="-3"/>
          <w:sz w:val="20"/>
        </w:rPr>
        <w:t> </w:t>
      </w:r>
      <w:r>
        <w:rPr>
          <w:sz w:val="20"/>
        </w:rPr>
        <w:t>the</w:t>
      </w:r>
      <w:r>
        <w:rPr>
          <w:spacing w:val="-3"/>
          <w:sz w:val="20"/>
        </w:rPr>
        <w:t> </w:t>
      </w:r>
      <w:r>
        <w:rPr>
          <w:sz w:val="20"/>
        </w:rPr>
        <w:t>parties</w:t>
      </w:r>
      <w:r>
        <w:rPr>
          <w:spacing w:val="-3"/>
          <w:sz w:val="20"/>
        </w:rPr>
        <w:t> </w:t>
      </w:r>
      <w:r>
        <w:rPr>
          <w:sz w:val="20"/>
        </w:rPr>
        <w:t>(the</w:t>
      </w:r>
      <w:r>
        <w:rPr>
          <w:spacing w:val="-3"/>
          <w:sz w:val="20"/>
        </w:rPr>
        <w:t> </w:t>
      </w:r>
      <w:r>
        <w:rPr>
          <w:sz w:val="20"/>
        </w:rPr>
        <w:t>“Agreement”)</w:t>
      </w:r>
      <w:r>
        <w:rPr>
          <w:spacing w:val="-3"/>
          <w:sz w:val="20"/>
        </w:rPr>
        <w:t> </w:t>
      </w:r>
      <w:r>
        <w:rPr>
          <w:sz w:val="20"/>
        </w:rPr>
        <w:t>are</w:t>
      </w:r>
      <w:r>
        <w:rPr>
          <w:spacing w:val="-3"/>
          <w:sz w:val="20"/>
        </w:rPr>
        <w:t> </w:t>
      </w:r>
      <w:r>
        <w:rPr>
          <w:sz w:val="20"/>
        </w:rPr>
        <w:t>applicable</w:t>
      </w:r>
      <w:r>
        <w:rPr>
          <w:spacing w:val="-3"/>
          <w:sz w:val="20"/>
        </w:rPr>
        <w:t> </w:t>
      </w:r>
      <w:r>
        <w:rPr>
          <w:sz w:val="20"/>
        </w:rPr>
        <w:t>to</w:t>
      </w:r>
      <w:r>
        <w:rPr>
          <w:spacing w:val="-3"/>
          <w:sz w:val="20"/>
        </w:rPr>
        <w:t> </w:t>
      </w:r>
      <w:r>
        <w:rPr>
          <w:sz w:val="20"/>
        </w:rPr>
        <w:t>this</w:t>
      </w:r>
      <w:r>
        <w:rPr>
          <w:spacing w:val="-3"/>
          <w:sz w:val="20"/>
        </w:rPr>
        <w:t> </w:t>
      </w:r>
      <w:r>
        <w:rPr>
          <w:sz w:val="20"/>
        </w:rPr>
        <w:t>Service</w:t>
      </w:r>
      <w:r>
        <w:rPr>
          <w:spacing w:val="-3"/>
          <w:sz w:val="20"/>
        </w:rPr>
        <w:t> </w:t>
      </w:r>
      <w:r>
        <w:rPr>
          <w:sz w:val="20"/>
        </w:rPr>
        <w:t>Level Agreement. Terms that have</w:t>
      </w:r>
      <w:r>
        <w:rPr>
          <w:spacing w:val="-4"/>
          <w:sz w:val="20"/>
        </w:rPr>
        <w:t> </w:t>
      </w:r>
      <w:r>
        <w:rPr>
          <w:sz w:val="20"/>
        </w:rPr>
        <w:t>an</w:t>
      </w:r>
      <w:r>
        <w:rPr>
          <w:spacing w:val="-4"/>
          <w:sz w:val="20"/>
        </w:rPr>
        <w:t> </w:t>
      </w:r>
      <w:r>
        <w:rPr>
          <w:sz w:val="20"/>
        </w:rPr>
        <w:t>asterisk</w:t>
      </w:r>
      <w:r>
        <w:rPr>
          <w:spacing w:val="-4"/>
          <w:sz w:val="20"/>
        </w:rPr>
        <w:t> </w:t>
      </w:r>
      <w:r>
        <w:rPr>
          <w:sz w:val="20"/>
        </w:rPr>
        <w:t>in</w:t>
      </w:r>
      <w:r>
        <w:rPr>
          <w:spacing w:val="-4"/>
          <w:sz w:val="20"/>
        </w:rPr>
        <w:t> </w:t>
      </w:r>
      <w:r>
        <w:rPr>
          <w:sz w:val="20"/>
        </w:rPr>
        <w:t>the</w:t>
      </w:r>
      <w:r>
        <w:rPr>
          <w:spacing w:val="-4"/>
          <w:sz w:val="20"/>
        </w:rPr>
        <w:t> </w:t>
      </w:r>
      <w:r>
        <w:rPr>
          <w:sz w:val="20"/>
        </w:rPr>
        <w:t>General</w:t>
      </w:r>
      <w:r>
        <w:rPr>
          <w:spacing w:val="-4"/>
          <w:sz w:val="20"/>
        </w:rPr>
        <w:t> </w:t>
      </w:r>
      <w:r>
        <w:rPr>
          <w:sz w:val="20"/>
        </w:rPr>
        <w:t>Services</w:t>
      </w:r>
      <w:r>
        <w:rPr>
          <w:spacing w:val="-4"/>
          <w:sz w:val="20"/>
        </w:rPr>
        <w:t> </w:t>
      </w:r>
      <w:r>
        <w:rPr>
          <w:sz w:val="20"/>
        </w:rPr>
        <w:t>Obligations</w:t>
      </w:r>
      <w:r>
        <w:rPr>
          <w:spacing w:val="-4"/>
          <w:sz w:val="20"/>
        </w:rPr>
        <w:t> </w:t>
      </w:r>
      <w:r>
        <w:rPr>
          <w:sz w:val="20"/>
        </w:rPr>
        <w:t>table</w:t>
      </w:r>
      <w:r>
        <w:rPr>
          <w:spacing w:val="-4"/>
          <w:sz w:val="20"/>
        </w:rPr>
        <w:t> </w:t>
      </w:r>
      <w:r>
        <w:rPr>
          <w:sz w:val="20"/>
        </w:rPr>
        <w:t>in</w:t>
      </w:r>
      <w:r>
        <w:rPr>
          <w:spacing w:val="-4"/>
          <w:sz w:val="20"/>
        </w:rPr>
        <w:t> </w:t>
      </w:r>
      <w:r>
        <w:rPr>
          <w:sz w:val="20"/>
        </w:rPr>
        <w:t>Section</w:t>
      </w:r>
      <w:r>
        <w:rPr>
          <w:spacing w:val="-4"/>
          <w:sz w:val="20"/>
        </w:rPr>
        <w:t> </w:t>
      </w:r>
      <w:r>
        <w:rPr>
          <w:sz w:val="20"/>
        </w:rPr>
        <w:t>1</w:t>
      </w:r>
      <w:r>
        <w:rPr>
          <w:spacing w:val="-4"/>
          <w:sz w:val="20"/>
        </w:rPr>
        <w:t> </w:t>
      </w:r>
      <w:r>
        <w:rPr>
          <w:sz w:val="20"/>
        </w:rPr>
        <w:t>above</w:t>
      </w:r>
      <w:r>
        <w:rPr>
          <w:spacing w:val="-4"/>
          <w:sz w:val="20"/>
        </w:rPr>
        <w:t> </w:t>
      </w:r>
      <w:r>
        <w:rPr>
          <w:sz w:val="20"/>
        </w:rPr>
        <w:t>are</w:t>
      </w:r>
      <w:r>
        <w:rPr>
          <w:spacing w:val="-4"/>
          <w:sz w:val="20"/>
        </w:rPr>
        <w:t> </w:t>
      </w:r>
      <w:r>
        <w:rPr>
          <w:sz w:val="20"/>
        </w:rPr>
        <w:t>further</w:t>
      </w:r>
      <w:r>
        <w:rPr>
          <w:spacing w:val="-4"/>
          <w:sz w:val="20"/>
        </w:rPr>
        <w:t> </w:t>
      </w:r>
      <w:r>
        <w:rPr>
          <w:sz w:val="20"/>
        </w:rPr>
        <w:t>explained in the Documentation at docs.appian.com</w:t>
      </w:r>
    </w:p>
    <w:p>
      <w:pPr>
        <w:pStyle w:val="BodyText"/>
        <w:spacing w:before="31"/>
        <w:ind w:left="0"/>
        <w:jc w:val="left"/>
      </w:pPr>
    </w:p>
    <w:p>
      <w:pPr>
        <w:pStyle w:val="Heading1"/>
        <w:numPr>
          <w:ilvl w:val="1"/>
          <w:numId w:val="1"/>
        </w:numPr>
        <w:tabs>
          <w:tab w:pos="366" w:val="left" w:leader="none"/>
        </w:tabs>
        <w:spacing w:line="240" w:lineRule="auto" w:before="0" w:after="0"/>
        <w:ind w:left="366" w:right="0" w:hanging="226"/>
        <w:jc w:val="left"/>
      </w:pPr>
      <w:r>
        <w:rPr/>
        <w:t>General</w:t>
      </w:r>
      <w:r>
        <w:rPr>
          <w:spacing w:val="-7"/>
        </w:rPr>
        <w:t> </w:t>
      </w:r>
      <w:r>
        <w:rPr>
          <w:spacing w:val="-2"/>
        </w:rPr>
        <w:t>Definitions</w:t>
      </w:r>
    </w:p>
    <w:p>
      <w:pPr>
        <w:pStyle w:val="ListParagraph"/>
        <w:numPr>
          <w:ilvl w:val="2"/>
          <w:numId w:val="1"/>
        </w:numPr>
        <w:tabs>
          <w:tab w:pos="321" w:val="left" w:leader="none"/>
        </w:tabs>
        <w:spacing w:line="240" w:lineRule="auto" w:before="230" w:after="0"/>
        <w:ind w:left="140" w:right="221" w:firstLine="0"/>
        <w:jc w:val="both"/>
        <w:rPr>
          <w:sz w:val="20"/>
        </w:rPr>
      </w:pPr>
      <w:r>
        <w:rPr>
          <w:b/>
          <w:sz w:val="20"/>
        </w:rPr>
        <w:t>Core Functionality </w:t>
      </w:r>
      <w:r>
        <w:rPr>
          <w:sz w:val="20"/>
        </w:rPr>
        <w:t>means the ability to use the Cloud Offering to: (i) load</w:t>
      </w:r>
      <w:r>
        <w:rPr>
          <w:spacing w:val="-2"/>
          <w:sz w:val="20"/>
        </w:rPr>
        <w:t> </w:t>
      </w:r>
      <w:r>
        <w:rPr>
          <w:sz w:val="20"/>
        </w:rPr>
        <w:t>a</w:t>
      </w:r>
      <w:r>
        <w:rPr>
          <w:spacing w:val="-2"/>
          <w:sz w:val="20"/>
        </w:rPr>
        <w:t> </w:t>
      </w:r>
      <w:r>
        <w:rPr>
          <w:sz w:val="20"/>
        </w:rPr>
        <w:t>designer</w:t>
      </w:r>
      <w:r>
        <w:rPr>
          <w:spacing w:val="-2"/>
          <w:sz w:val="20"/>
        </w:rPr>
        <w:t> </w:t>
      </w:r>
      <w:r>
        <w:rPr>
          <w:sz w:val="20"/>
        </w:rPr>
        <w:t>interface;</w:t>
      </w:r>
      <w:r>
        <w:rPr>
          <w:spacing w:val="-2"/>
          <w:sz w:val="20"/>
        </w:rPr>
        <w:t> </w:t>
      </w:r>
      <w:r>
        <w:rPr>
          <w:sz w:val="20"/>
        </w:rPr>
        <w:t>(ii)</w:t>
      </w:r>
      <w:r>
        <w:rPr>
          <w:spacing w:val="-2"/>
          <w:sz w:val="20"/>
        </w:rPr>
        <w:t> </w:t>
      </w:r>
      <w:r>
        <w:rPr>
          <w:sz w:val="20"/>
        </w:rPr>
        <w:t>publish</w:t>
      </w:r>
      <w:r>
        <w:rPr>
          <w:spacing w:val="-2"/>
          <w:sz w:val="20"/>
        </w:rPr>
        <w:t> </w:t>
      </w:r>
      <w:r>
        <w:rPr>
          <w:sz w:val="20"/>
        </w:rPr>
        <w:t>a</w:t>
      </w:r>
      <w:r>
        <w:rPr>
          <w:spacing w:val="-2"/>
          <w:sz w:val="20"/>
        </w:rPr>
        <w:t> </w:t>
      </w:r>
      <w:r>
        <w:rPr>
          <w:sz w:val="20"/>
        </w:rPr>
        <w:t>generic process; (iii) launch a generic process (including accepting a generic task and entering a generic form); (iv) access a generic dashboard; or (v) run a generic report.</w:t>
      </w:r>
    </w:p>
    <w:p>
      <w:pPr>
        <w:pStyle w:val="ListParagraph"/>
        <w:numPr>
          <w:ilvl w:val="2"/>
          <w:numId w:val="1"/>
        </w:numPr>
        <w:tabs>
          <w:tab w:pos="412" w:val="left" w:leader="none"/>
        </w:tabs>
        <w:spacing w:line="232" w:lineRule="auto" w:before="237" w:after="0"/>
        <w:ind w:left="140" w:right="223" w:firstLine="0"/>
        <w:jc w:val="both"/>
        <w:rPr>
          <w:sz w:val="20"/>
        </w:rPr>
      </w:pPr>
      <w:r>
        <w:rPr>
          <w:b/>
          <w:sz w:val="20"/>
        </w:rPr>
        <w:t>Correction </w:t>
      </w:r>
      <w:r>
        <w:rPr>
          <w:sz w:val="20"/>
        </w:rPr>
        <w:t>means, without limitation, workarounds, support releases, component replacements, patches and/or documentation changes, as Appian deems reasonably appropriate.</w:t>
      </w:r>
    </w:p>
    <w:p>
      <w:pPr>
        <w:pStyle w:val="ListParagraph"/>
        <w:numPr>
          <w:ilvl w:val="2"/>
          <w:numId w:val="1"/>
        </w:numPr>
        <w:tabs>
          <w:tab w:pos="398" w:val="left" w:leader="none"/>
        </w:tabs>
        <w:spacing w:line="240" w:lineRule="auto" w:before="236" w:after="0"/>
        <w:ind w:left="398" w:right="0" w:hanging="258"/>
        <w:jc w:val="left"/>
        <w:rPr>
          <w:sz w:val="20"/>
        </w:rPr>
      </w:pPr>
      <w:r>
        <w:rPr>
          <w:b/>
          <w:sz w:val="20"/>
        </w:rPr>
        <w:t>Issue</w:t>
      </w:r>
      <w:r>
        <w:rPr>
          <w:b/>
          <w:spacing w:val="-6"/>
          <w:sz w:val="20"/>
        </w:rPr>
        <w:t> </w:t>
      </w:r>
      <w:r>
        <w:rPr>
          <w:sz w:val="20"/>
        </w:rPr>
        <w:t>means,</w:t>
      </w:r>
      <w:r>
        <w:rPr>
          <w:spacing w:val="-7"/>
          <w:sz w:val="20"/>
        </w:rPr>
        <w:t> </w:t>
      </w:r>
      <w:r>
        <w:rPr>
          <w:sz w:val="20"/>
        </w:rPr>
        <w:t>collectively,</w:t>
      </w:r>
      <w:r>
        <w:rPr>
          <w:spacing w:val="-6"/>
          <w:sz w:val="20"/>
        </w:rPr>
        <w:t> </w:t>
      </w:r>
      <w:r>
        <w:rPr>
          <w:sz w:val="20"/>
        </w:rPr>
        <w:t>a</w:t>
      </w:r>
      <w:r>
        <w:rPr>
          <w:spacing w:val="-6"/>
          <w:sz w:val="20"/>
        </w:rPr>
        <w:t> </w:t>
      </w:r>
      <w:r>
        <w:rPr>
          <w:sz w:val="20"/>
        </w:rPr>
        <w:t>Priority</w:t>
      </w:r>
      <w:r>
        <w:rPr>
          <w:spacing w:val="-7"/>
          <w:sz w:val="20"/>
        </w:rPr>
        <w:t> </w:t>
      </w:r>
      <w:r>
        <w:rPr>
          <w:sz w:val="20"/>
        </w:rPr>
        <w:t>1,</w:t>
      </w:r>
      <w:r>
        <w:rPr>
          <w:spacing w:val="-6"/>
          <w:sz w:val="20"/>
        </w:rPr>
        <w:t> </w:t>
      </w:r>
      <w:r>
        <w:rPr>
          <w:sz w:val="20"/>
        </w:rPr>
        <w:t>Priority</w:t>
      </w:r>
      <w:r>
        <w:rPr>
          <w:spacing w:val="-6"/>
          <w:sz w:val="20"/>
        </w:rPr>
        <w:t> </w:t>
      </w:r>
      <w:r>
        <w:rPr>
          <w:sz w:val="20"/>
        </w:rPr>
        <w:t>2,</w:t>
      </w:r>
      <w:r>
        <w:rPr>
          <w:spacing w:val="-7"/>
          <w:sz w:val="20"/>
        </w:rPr>
        <w:t> </w:t>
      </w:r>
      <w:r>
        <w:rPr>
          <w:sz w:val="20"/>
        </w:rPr>
        <w:t>Priority</w:t>
      </w:r>
      <w:r>
        <w:rPr>
          <w:spacing w:val="-6"/>
          <w:sz w:val="20"/>
        </w:rPr>
        <w:t> </w:t>
      </w:r>
      <w:r>
        <w:rPr>
          <w:sz w:val="20"/>
        </w:rPr>
        <w:t>3</w:t>
      </w:r>
      <w:r>
        <w:rPr>
          <w:spacing w:val="-6"/>
          <w:sz w:val="20"/>
        </w:rPr>
        <w:t> </w:t>
      </w:r>
      <w:r>
        <w:rPr>
          <w:sz w:val="20"/>
        </w:rPr>
        <w:t>or</w:t>
      </w:r>
      <w:r>
        <w:rPr>
          <w:spacing w:val="-7"/>
          <w:sz w:val="20"/>
        </w:rPr>
        <w:t> </w:t>
      </w:r>
      <w:r>
        <w:rPr>
          <w:sz w:val="20"/>
        </w:rPr>
        <w:t>Priority</w:t>
      </w:r>
      <w:r>
        <w:rPr>
          <w:spacing w:val="-6"/>
          <w:sz w:val="20"/>
        </w:rPr>
        <w:t> </w:t>
      </w:r>
      <w:r>
        <w:rPr>
          <w:sz w:val="20"/>
        </w:rPr>
        <w:t>4</w:t>
      </w:r>
      <w:r>
        <w:rPr>
          <w:spacing w:val="-6"/>
          <w:sz w:val="20"/>
        </w:rPr>
        <w:t> </w:t>
      </w:r>
      <w:r>
        <w:rPr>
          <w:spacing w:val="-2"/>
          <w:sz w:val="20"/>
        </w:rPr>
        <w:t>Issue.</w:t>
      </w:r>
    </w:p>
    <w:p>
      <w:pPr>
        <w:pStyle w:val="ListParagraph"/>
        <w:numPr>
          <w:ilvl w:val="3"/>
          <w:numId w:val="1"/>
        </w:numPr>
        <w:tabs>
          <w:tab w:pos="858" w:val="left" w:leader="none"/>
          <w:tab w:pos="860" w:val="left" w:leader="none"/>
        </w:tabs>
        <w:spacing w:line="242" w:lineRule="auto" w:before="238" w:after="0"/>
        <w:ind w:left="860" w:right="220" w:hanging="270"/>
        <w:jc w:val="left"/>
        <w:rPr>
          <w:sz w:val="20"/>
        </w:rPr>
      </w:pPr>
      <w:r>
        <w:rPr>
          <w:b/>
          <w:sz w:val="20"/>
        </w:rPr>
        <w:t>Priority 1 Issue </w:t>
      </w:r>
      <w:r>
        <w:rPr>
          <w:sz w:val="20"/>
        </w:rPr>
        <w:t>means a User</w:t>
      </w:r>
      <w:r>
        <w:rPr>
          <w:spacing w:val="-3"/>
          <w:sz w:val="20"/>
        </w:rPr>
        <w:t> </w:t>
      </w:r>
      <w:r>
        <w:rPr>
          <w:sz w:val="20"/>
        </w:rPr>
        <w:t>is</w:t>
      </w:r>
      <w:r>
        <w:rPr>
          <w:spacing w:val="-3"/>
          <w:sz w:val="20"/>
        </w:rPr>
        <w:t> </w:t>
      </w:r>
      <w:r>
        <w:rPr>
          <w:sz w:val="20"/>
        </w:rPr>
        <w:t>unable</w:t>
      </w:r>
      <w:r>
        <w:rPr>
          <w:spacing w:val="-3"/>
          <w:sz w:val="20"/>
        </w:rPr>
        <w:t> </w:t>
      </w:r>
      <w:r>
        <w:rPr>
          <w:sz w:val="20"/>
        </w:rPr>
        <w:t>to</w:t>
      </w:r>
      <w:r>
        <w:rPr>
          <w:spacing w:val="-3"/>
          <w:sz w:val="20"/>
        </w:rPr>
        <w:t> </w:t>
      </w:r>
      <w:r>
        <w:rPr>
          <w:sz w:val="20"/>
        </w:rPr>
        <w:t>access</w:t>
      </w:r>
      <w:r>
        <w:rPr>
          <w:spacing w:val="-3"/>
          <w:sz w:val="20"/>
        </w:rPr>
        <w:t> </w:t>
      </w:r>
      <w:r>
        <w:rPr>
          <w:sz w:val="20"/>
        </w:rPr>
        <w:t>the</w:t>
      </w:r>
      <w:r>
        <w:rPr>
          <w:spacing w:val="-3"/>
          <w:sz w:val="20"/>
        </w:rPr>
        <w:t> </w:t>
      </w:r>
      <w:r>
        <w:rPr>
          <w:sz w:val="20"/>
        </w:rPr>
        <w:t>login</w:t>
      </w:r>
      <w:r>
        <w:rPr>
          <w:spacing w:val="-3"/>
          <w:sz w:val="20"/>
        </w:rPr>
        <w:t> </w:t>
      </w:r>
      <w:r>
        <w:rPr>
          <w:sz w:val="20"/>
        </w:rPr>
        <w:t>page</w:t>
      </w:r>
      <w:r>
        <w:rPr>
          <w:spacing w:val="-3"/>
          <w:sz w:val="20"/>
        </w:rPr>
        <w:t> </w:t>
      </w:r>
      <w:r>
        <w:rPr>
          <w:sz w:val="20"/>
        </w:rPr>
        <w:t>on</w:t>
      </w:r>
      <w:r>
        <w:rPr>
          <w:spacing w:val="-3"/>
          <w:sz w:val="20"/>
        </w:rPr>
        <w:t> </w:t>
      </w:r>
      <w:r>
        <w:rPr>
          <w:sz w:val="20"/>
        </w:rPr>
        <w:t>a</w:t>
      </w:r>
      <w:r>
        <w:rPr>
          <w:spacing w:val="-3"/>
          <w:sz w:val="20"/>
        </w:rPr>
        <w:t> </w:t>
      </w:r>
      <w:r>
        <w:rPr>
          <w:sz w:val="20"/>
        </w:rPr>
        <w:t>production</w:t>
      </w:r>
      <w:r>
        <w:rPr>
          <w:spacing w:val="-3"/>
          <w:sz w:val="20"/>
        </w:rPr>
        <w:t> </w:t>
      </w:r>
      <w:r>
        <w:rPr>
          <w:sz w:val="20"/>
        </w:rPr>
        <w:t>instance</w:t>
      </w:r>
      <w:r>
        <w:rPr>
          <w:spacing w:val="-3"/>
          <w:sz w:val="20"/>
        </w:rPr>
        <w:t> </w:t>
      </w:r>
      <w:r>
        <w:rPr>
          <w:sz w:val="20"/>
        </w:rPr>
        <w:t>of</w:t>
      </w:r>
      <w:r>
        <w:rPr>
          <w:spacing w:val="-3"/>
          <w:sz w:val="20"/>
        </w:rPr>
        <w:t> </w:t>
      </w:r>
      <w:r>
        <w:rPr>
          <w:sz w:val="20"/>
        </w:rPr>
        <w:t>the</w:t>
      </w:r>
      <w:r>
        <w:rPr>
          <w:spacing w:val="-3"/>
          <w:sz w:val="20"/>
        </w:rPr>
        <w:t> </w:t>
      </w:r>
      <w:r>
        <w:rPr>
          <w:sz w:val="20"/>
        </w:rPr>
        <w:t>Cloud</w:t>
      </w:r>
      <w:r>
        <w:rPr>
          <w:spacing w:val="-3"/>
          <w:sz w:val="20"/>
        </w:rPr>
        <w:t> </w:t>
      </w:r>
      <w:r>
        <w:rPr>
          <w:sz w:val="20"/>
        </w:rPr>
        <w:t>Offering using the User’s then current username and password.</w:t>
      </w:r>
    </w:p>
    <w:p>
      <w:pPr>
        <w:pStyle w:val="ListParagraph"/>
        <w:numPr>
          <w:ilvl w:val="3"/>
          <w:numId w:val="1"/>
        </w:numPr>
        <w:tabs>
          <w:tab w:pos="858" w:val="left" w:leader="none"/>
          <w:tab w:pos="860" w:val="left" w:leader="none"/>
        </w:tabs>
        <w:spacing w:line="235" w:lineRule="auto" w:before="35" w:after="0"/>
        <w:ind w:left="860" w:right="230" w:hanging="270"/>
        <w:jc w:val="left"/>
        <w:rPr>
          <w:sz w:val="20"/>
        </w:rPr>
      </w:pPr>
      <w:r>
        <w:rPr>
          <w:b/>
          <w:sz w:val="20"/>
        </w:rPr>
        <w:t>Priority 2 Issue </w:t>
      </w:r>
      <w:r>
        <w:rPr>
          <w:sz w:val="20"/>
        </w:rPr>
        <w:t>means a User</w:t>
      </w:r>
      <w:r>
        <w:rPr>
          <w:spacing w:val="-3"/>
          <w:sz w:val="20"/>
        </w:rPr>
        <w:t> </w:t>
      </w:r>
      <w:r>
        <w:rPr>
          <w:sz w:val="20"/>
        </w:rPr>
        <w:t>is</w:t>
      </w:r>
      <w:r>
        <w:rPr>
          <w:spacing w:val="-3"/>
          <w:sz w:val="20"/>
        </w:rPr>
        <w:t> </w:t>
      </w:r>
      <w:r>
        <w:rPr>
          <w:sz w:val="20"/>
        </w:rPr>
        <w:t>unable</w:t>
      </w:r>
      <w:r>
        <w:rPr>
          <w:spacing w:val="-3"/>
          <w:sz w:val="20"/>
        </w:rPr>
        <w:t> </w:t>
      </w:r>
      <w:r>
        <w:rPr>
          <w:sz w:val="20"/>
        </w:rPr>
        <w:t>to</w:t>
      </w:r>
      <w:r>
        <w:rPr>
          <w:spacing w:val="-3"/>
          <w:sz w:val="20"/>
        </w:rPr>
        <w:t> </w:t>
      </w:r>
      <w:r>
        <w:rPr>
          <w:sz w:val="20"/>
        </w:rPr>
        <w:t>operate</w:t>
      </w:r>
      <w:r>
        <w:rPr>
          <w:spacing w:val="-3"/>
          <w:sz w:val="20"/>
        </w:rPr>
        <w:t> </w:t>
      </w:r>
      <w:r>
        <w:rPr>
          <w:sz w:val="20"/>
        </w:rPr>
        <w:t>the</w:t>
      </w:r>
      <w:r>
        <w:rPr>
          <w:spacing w:val="-3"/>
          <w:sz w:val="20"/>
        </w:rPr>
        <w:t> </w:t>
      </w:r>
      <w:r>
        <w:rPr>
          <w:sz w:val="20"/>
        </w:rPr>
        <w:t>Core</w:t>
      </w:r>
      <w:r>
        <w:rPr>
          <w:spacing w:val="-3"/>
          <w:sz w:val="20"/>
        </w:rPr>
        <w:t> </w:t>
      </w:r>
      <w:r>
        <w:rPr>
          <w:sz w:val="20"/>
        </w:rPr>
        <w:t>Functionality</w:t>
      </w:r>
      <w:r>
        <w:rPr>
          <w:spacing w:val="-3"/>
          <w:sz w:val="20"/>
        </w:rPr>
        <w:t> </w:t>
      </w:r>
      <w:r>
        <w:rPr>
          <w:sz w:val="20"/>
        </w:rPr>
        <w:t>on</w:t>
      </w:r>
      <w:r>
        <w:rPr>
          <w:spacing w:val="-3"/>
          <w:sz w:val="20"/>
        </w:rPr>
        <w:t> </w:t>
      </w:r>
      <w:r>
        <w:rPr>
          <w:sz w:val="20"/>
        </w:rPr>
        <w:t>a</w:t>
      </w:r>
      <w:r>
        <w:rPr>
          <w:spacing w:val="-3"/>
          <w:sz w:val="20"/>
        </w:rPr>
        <w:t> </w:t>
      </w:r>
      <w:r>
        <w:rPr>
          <w:sz w:val="20"/>
        </w:rPr>
        <w:t>production</w:t>
      </w:r>
      <w:r>
        <w:rPr>
          <w:spacing w:val="-3"/>
          <w:sz w:val="20"/>
        </w:rPr>
        <w:t> </w:t>
      </w:r>
      <w:r>
        <w:rPr>
          <w:sz w:val="20"/>
        </w:rPr>
        <w:t>instance</w:t>
      </w:r>
      <w:r>
        <w:rPr>
          <w:spacing w:val="-3"/>
          <w:sz w:val="20"/>
        </w:rPr>
        <w:t> </w:t>
      </w:r>
      <w:r>
        <w:rPr>
          <w:sz w:val="20"/>
        </w:rPr>
        <w:t>of</w:t>
      </w:r>
      <w:r>
        <w:rPr>
          <w:spacing w:val="-3"/>
          <w:sz w:val="20"/>
        </w:rPr>
        <w:t> </w:t>
      </w:r>
      <w:r>
        <w:rPr>
          <w:sz w:val="20"/>
        </w:rPr>
        <w:t>the</w:t>
      </w:r>
      <w:r>
        <w:rPr>
          <w:spacing w:val="-3"/>
          <w:sz w:val="20"/>
        </w:rPr>
        <w:t> </w:t>
      </w:r>
      <w:r>
        <w:rPr>
          <w:sz w:val="20"/>
        </w:rPr>
        <w:t>Cloud Offering using the User’s then current username and password.</w:t>
      </w:r>
    </w:p>
    <w:p>
      <w:pPr>
        <w:pStyle w:val="ListParagraph"/>
        <w:numPr>
          <w:ilvl w:val="3"/>
          <w:numId w:val="1"/>
        </w:numPr>
        <w:tabs>
          <w:tab w:pos="858" w:val="left" w:leader="none"/>
          <w:tab w:pos="860" w:val="left" w:leader="none"/>
        </w:tabs>
        <w:spacing w:line="235" w:lineRule="auto" w:before="37" w:after="0"/>
        <w:ind w:left="860" w:right="226" w:hanging="270"/>
        <w:jc w:val="left"/>
        <w:rPr>
          <w:sz w:val="20"/>
        </w:rPr>
      </w:pPr>
      <w:r>
        <w:rPr>
          <w:b/>
          <w:sz w:val="20"/>
        </w:rPr>
        <w:t>Priority</w:t>
      </w:r>
      <w:r>
        <w:rPr>
          <w:b/>
          <w:spacing w:val="40"/>
          <w:sz w:val="20"/>
        </w:rPr>
        <w:t> </w:t>
      </w:r>
      <w:r>
        <w:rPr>
          <w:b/>
          <w:sz w:val="20"/>
        </w:rPr>
        <w:t>3</w:t>
      </w:r>
      <w:r>
        <w:rPr>
          <w:b/>
          <w:spacing w:val="40"/>
          <w:sz w:val="20"/>
        </w:rPr>
        <w:t> </w:t>
      </w:r>
      <w:r>
        <w:rPr>
          <w:b/>
          <w:sz w:val="20"/>
        </w:rPr>
        <w:t>Issue</w:t>
      </w:r>
      <w:r>
        <w:rPr>
          <w:b/>
          <w:spacing w:val="27"/>
          <w:sz w:val="20"/>
        </w:rPr>
        <w:t> </w:t>
      </w:r>
      <w:r>
        <w:rPr>
          <w:sz w:val="20"/>
        </w:rPr>
        <w:t>means</w:t>
      </w:r>
      <w:r>
        <w:rPr>
          <w:spacing w:val="27"/>
          <w:sz w:val="20"/>
        </w:rPr>
        <w:t> </w:t>
      </w:r>
      <w:r>
        <w:rPr>
          <w:sz w:val="20"/>
        </w:rPr>
        <w:t>a</w:t>
      </w:r>
      <w:r>
        <w:rPr>
          <w:spacing w:val="27"/>
          <w:sz w:val="20"/>
        </w:rPr>
        <w:t> </w:t>
      </w:r>
      <w:r>
        <w:rPr>
          <w:sz w:val="20"/>
        </w:rPr>
        <w:t>functional</w:t>
      </w:r>
      <w:r>
        <w:rPr>
          <w:spacing w:val="27"/>
          <w:sz w:val="20"/>
        </w:rPr>
        <w:t> </w:t>
      </w:r>
      <w:r>
        <w:rPr>
          <w:sz w:val="20"/>
        </w:rPr>
        <w:t>feature</w:t>
      </w:r>
      <w:r>
        <w:rPr>
          <w:spacing w:val="27"/>
          <w:sz w:val="20"/>
        </w:rPr>
        <w:t> </w:t>
      </w:r>
      <w:r>
        <w:rPr>
          <w:sz w:val="20"/>
        </w:rPr>
        <w:t>of</w:t>
      </w:r>
      <w:r>
        <w:rPr>
          <w:spacing w:val="27"/>
          <w:sz w:val="20"/>
        </w:rPr>
        <w:t> </w:t>
      </w:r>
      <w:r>
        <w:rPr>
          <w:sz w:val="20"/>
        </w:rPr>
        <w:t>the</w:t>
      </w:r>
      <w:r>
        <w:rPr>
          <w:spacing w:val="27"/>
          <w:sz w:val="20"/>
        </w:rPr>
        <w:t> </w:t>
      </w:r>
      <w:r>
        <w:rPr>
          <w:sz w:val="20"/>
        </w:rPr>
        <w:t>Cloud</w:t>
      </w:r>
      <w:r>
        <w:rPr>
          <w:spacing w:val="27"/>
          <w:sz w:val="20"/>
        </w:rPr>
        <w:t> </w:t>
      </w:r>
      <w:r>
        <w:rPr>
          <w:sz w:val="20"/>
        </w:rPr>
        <w:t>Offering</w:t>
      </w:r>
      <w:r>
        <w:rPr>
          <w:spacing w:val="27"/>
          <w:sz w:val="20"/>
        </w:rPr>
        <w:t> </w:t>
      </w:r>
      <w:r>
        <w:rPr>
          <w:sz w:val="20"/>
        </w:rPr>
        <w:t>is</w:t>
      </w:r>
      <w:r>
        <w:rPr>
          <w:spacing w:val="27"/>
          <w:sz w:val="20"/>
        </w:rPr>
        <w:t> </w:t>
      </w:r>
      <w:r>
        <w:rPr>
          <w:sz w:val="20"/>
        </w:rPr>
        <w:t>impacted,</w:t>
      </w:r>
      <w:r>
        <w:rPr>
          <w:spacing w:val="27"/>
          <w:sz w:val="20"/>
        </w:rPr>
        <w:t> </w:t>
      </w:r>
      <w:r>
        <w:rPr>
          <w:sz w:val="20"/>
        </w:rPr>
        <w:t>but</w:t>
      </w:r>
      <w:r>
        <w:rPr>
          <w:spacing w:val="27"/>
          <w:sz w:val="20"/>
        </w:rPr>
        <w:t> </w:t>
      </w:r>
      <w:r>
        <w:rPr>
          <w:sz w:val="20"/>
        </w:rPr>
        <w:t>it</w:t>
      </w:r>
      <w:r>
        <w:rPr>
          <w:spacing w:val="27"/>
          <w:sz w:val="20"/>
        </w:rPr>
        <w:t> </w:t>
      </w:r>
      <w:r>
        <w:rPr>
          <w:sz w:val="20"/>
        </w:rPr>
        <w:t>is</w:t>
      </w:r>
      <w:r>
        <w:rPr>
          <w:spacing w:val="27"/>
          <w:sz w:val="20"/>
        </w:rPr>
        <w:t> </w:t>
      </w:r>
      <w:r>
        <w:rPr>
          <w:sz w:val="20"/>
        </w:rPr>
        <w:t>feasible</w:t>
      </w:r>
      <w:r>
        <w:rPr>
          <w:spacing w:val="27"/>
          <w:sz w:val="20"/>
        </w:rPr>
        <w:t> </w:t>
      </w:r>
      <w:r>
        <w:rPr>
          <w:sz w:val="20"/>
        </w:rPr>
        <w:t>to</w:t>
      </w:r>
      <w:r>
        <w:rPr>
          <w:spacing w:val="27"/>
          <w:sz w:val="20"/>
        </w:rPr>
        <w:t> </w:t>
      </w:r>
      <w:r>
        <w:rPr>
          <w:sz w:val="20"/>
        </w:rPr>
        <w:t>continue production/development, as the issue is not critical or a workaround is feasible.</w:t>
      </w:r>
    </w:p>
    <w:p>
      <w:pPr>
        <w:pStyle w:val="ListParagraph"/>
        <w:numPr>
          <w:ilvl w:val="3"/>
          <w:numId w:val="1"/>
        </w:numPr>
        <w:tabs>
          <w:tab w:pos="858" w:val="left" w:leader="none"/>
        </w:tabs>
        <w:spacing w:line="240" w:lineRule="auto" w:before="33" w:after="0"/>
        <w:ind w:left="858" w:right="0" w:hanging="268"/>
        <w:jc w:val="left"/>
        <w:rPr>
          <w:sz w:val="20"/>
        </w:rPr>
      </w:pPr>
      <w:r>
        <w:rPr>
          <w:b/>
          <w:sz w:val="20"/>
        </w:rPr>
        <w:t>Priority</w:t>
      </w:r>
      <w:r>
        <w:rPr>
          <w:b/>
          <w:spacing w:val="-6"/>
          <w:sz w:val="20"/>
        </w:rPr>
        <w:t> </w:t>
      </w:r>
      <w:r>
        <w:rPr>
          <w:b/>
          <w:sz w:val="20"/>
        </w:rPr>
        <w:t>4</w:t>
      </w:r>
      <w:r>
        <w:rPr>
          <w:b/>
          <w:spacing w:val="-4"/>
          <w:sz w:val="20"/>
        </w:rPr>
        <w:t> </w:t>
      </w:r>
      <w:r>
        <w:rPr>
          <w:b/>
          <w:sz w:val="20"/>
        </w:rPr>
        <w:t>Issue</w:t>
      </w:r>
      <w:r>
        <w:rPr>
          <w:b/>
          <w:spacing w:val="-4"/>
          <w:sz w:val="20"/>
        </w:rPr>
        <w:t> </w:t>
      </w:r>
      <w:r>
        <w:rPr>
          <w:sz w:val="20"/>
        </w:rPr>
        <w:t>means</w:t>
      </w:r>
      <w:r>
        <w:rPr>
          <w:spacing w:val="-4"/>
          <w:sz w:val="20"/>
        </w:rPr>
        <w:t> </w:t>
      </w:r>
      <w:r>
        <w:rPr>
          <w:sz w:val="20"/>
        </w:rPr>
        <w:t>all</w:t>
      </w:r>
      <w:r>
        <w:rPr>
          <w:spacing w:val="-4"/>
          <w:sz w:val="20"/>
        </w:rPr>
        <w:t> </w:t>
      </w:r>
      <w:r>
        <w:rPr>
          <w:sz w:val="20"/>
        </w:rPr>
        <w:t>other</w:t>
      </w:r>
      <w:r>
        <w:rPr>
          <w:spacing w:val="-4"/>
          <w:sz w:val="20"/>
        </w:rPr>
        <w:t> </w:t>
      </w:r>
      <w:r>
        <w:rPr>
          <w:sz w:val="20"/>
        </w:rPr>
        <w:t>issues</w:t>
      </w:r>
      <w:r>
        <w:rPr>
          <w:spacing w:val="-4"/>
          <w:sz w:val="20"/>
        </w:rPr>
        <w:t> </w:t>
      </w:r>
      <w:r>
        <w:rPr>
          <w:sz w:val="20"/>
        </w:rPr>
        <w:t>which</w:t>
      </w:r>
      <w:r>
        <w:rPr>
          <w:spacing w:val="-4"/>
          <w:sz w:val="20"/>
        </w:rPr>
        <w:t> </w:t>
      </w:r>
      <w:r>
        <w:rPr>
          <w:sz w:val="20"/>
        </w:rPr>
        <w:t>are</w:t>
      </w:r>
      <w:r>
        <w:rPr>
          <w:spacing w:val="-4"/>
          <w:sz w:val="20"/>
        </w:rPr>
        <w:t> </w:t>
      </w:r>
      <w:r>
        <w:rPr>
          <w:sz w:val="20"/>
        </w:rPr>
        <w:t>not</w:t>
      </w:r>
      <w:r>
        <w:rPr>
          <w:spacing w:val="-4"/>
          <w:sz w:val="20"/>
        </w:rPr>
        <w:t> </w:t>
      </w:r>
      <w:r>
        <w:rPr>
          <w:sz w:val="20"/>
        </w:rPr>
        <w:t>Priority</w:t>
      </w:r>
      <w:r>
        <w:rPr>
          <w:spacing w:val="-4"/>
          <w:sz w:val="20"/>
        </w:rPr>
        <w:t> </w:t>
      </w:r>
      <w:r>
        <w:rPr>
          <w:sz w:val="20"/>
        </w:rPr>
        <w:t>1,</w:t>
      </w:r>
      <w:r>
        <w:rPr>
          <w:spacing w:val="-4"/>
          <w:sz w:val="20"/>
        </w:rPr>
        <w:t> </w:t>
      </w:r>
      <w:r>
        <w:rPr>
          <w:sz w:val="20"/>
        </w:rPr>
        <w:t>2</w:t>
      </w:r>
      <w:r>
        <w:rPr>
          <w:spacing w:val="-4"/>
          <w:sz w:val="20"/>
        </w:rPr>
        <w:t> </w:t>
      </w:r>
      <w:r>
        <w:rPr>
          <w:sz w:val="20"/>
        </w:rPr>
        <w:t>or</w:t>
      </w:r>
      <w:r>
        <w:rPr>
          <w:spacing w:val="-4"/>
          <w:sz w:val="20"/>
        </w:rPr>
        <w:t> </w:t>
      </w:r>
      <w:r>
        <w:rPr>
          <w:spacing w:val="-5"/>
          <w:sz w:val="20"/>
        </w:rPr>
        <w:t>3.</w:t>
      </w:r>
    </w:p>
    <w:p>
      <w:pPr>
        <w:pStyle w:val="Heading1"/>
        <w:numPr>
          <w:ilvl w:val="1"/>
          <w:numId w:val="1"/>
        </w:numPr>
        <w:tabs>
          <w:tab w:pos="370" w:val="left" w:leader="none"/>
        </w:tabs>
        <w:spacing w:line="240" w:lineRule="auto" w:before="230" w:after="0"/>
        <w:ind w:left="370" w:right="0" w:hanging="230"/>
        <w:jc w:val="left"/>
      </w:pPr>
      <w:r>
        <w:rPr/>
        <w:t>Technical</w:t>
      </w:r>
      <w:r>
        <w:rPr>
          <w:spacing w:val="-8"/>
        </w:rPr>
        <w:t> </w:t>
      </w:r>
      <w:r>
        <w:rPr/>
        <w:t>Support</w:t>
      </w:r>
      <w:r>
        <w:rPr>
          <w:spacing w:val="-8"/>
        </w:rPr>
        <w:t> </w:t>
      </w:r>
      <w:r>
        <w:rPr/>
        <w:t>Services</w:t>
      </w:r>
      <w:r>
        <w:rPr>
          <w:spacing w:val="-8"/>
        </w:rPr>
        <w:t> </w:t>
      </w:r>
      <w:r>
        <w:rPr>
          <w:spacing w:val="-2"/>
        </w:rPr>
        <w:t>Definitions.</w:t>
      </w:r>
    </w:p>
    <w:p>
      <w:pPr>
        <w:pStyle w:val="ListParagraph"/>
        <w:numPr>
          <w:ilvl w:val="2"/>
          <w:numId w:val="1"/>
        </w:numPr>
        <w:tabs>
          <w:tab w:pos="352" w:val="left" w:leader="none"/>
        </w:tabs>
        <w:spacing w:line="232" w:lineRule="auto" w:before="240" w:after="0"/>
        <w:ind w:left="140" w:right="220" w:firstLine="0"/>
        <w:jc w:val="both"/>
        <w:rPr>
          <w:sz w:val="20"/>
        </w:rPr>
      </w:pPr>
      <w:r>
        <w:rPr>
          <w:b/>
          <w:sz w:val="20"/>
        </w:rPr>
        <w:t>Designated Support Contacts </w:t>
      </w:r>
      <w:r>
        <w:rPr>
          <w:sz w:val="20"/>
        </w:rPr>
        <w:t>means the Subscriber personnel designated to interact with Appian on technical support</w:t>
      </w:r>
      <w:r>
        <w:rPr>
          <w:spacing w:val="27"/>
          <w:sz w:val="20"/>
        </w:rPr>
        <w:t> </w:t>
      </w:r>
      <w:r>
        <w:rPr>
          <w:sz w:val="20"/>
        </w:rPr>
        <w:t>issues.</w:t>
      </w:r>
      <w:r>
        <w:rPr>
          <w:spacing w:val="79"/>
          <w:w w:val="150"/>
          <w:sz w:val="20"/>
        </w:rPr>
        <w:t> </w:t>
      </w:r>
      <w:r>
        <w:rPr>
          <w:sz w:val="20"/>
        </w:rPr>
        <w:t>Designated</w:t>
      </w:r>
      <w:r>
        <w:rPr>
          <w:spacing w:val="27"/>
          <w:sz w:val="20"/>
        </w:rPr>
        <w:t> </w:t>
      </w:r>
      <w:r>
        <w:rPr>
          <w:sz w:val="20"/>
        </w:rPr>
        <w:t>Support</w:t>
      </w:r>
      <w:r>
        <w:rPr>
          <w:spacing w:val="27"/>
          <w:sz w:val="20"/>
        </w:rPr>
        <w:t> </w:t>
      </w:r>
      <w:r>
        <w:rPr>
          <w:sz w:val="20"/>
        </w:rPr>
        <w:t>Contacts</w:t>
      </w:r>
      <w:r>
        <w:rPr>
          <w:spacing w:val="27"/>
          <w:sz w:val="20"/>
        </w:rPr>
        <w:t> </w:t>
      </w:r>
      <w:r>
        <w:rPr>
          <w:sz w:val="20"/>
        </w:rPr>
        <w:t>are able to create, view and update technical support cases on behalf of</w:t>
      </w:r>
    </w:p>
    <w:p>
      <w:pPr>
        <w:spacing w:after="0" w:line="232" w:lineRule="auto"/>
        <w:jc w:val="both"/>
        <w:rPr>
          <w:sz w:val="20"/>
        </w:rPr>
        <w:sectPr>
          <w:pgSz w:w="12240" w:h="15840"/>
          <w:pgMar w:header="0" w:footer="419" w:top="1620" w:bottom="600" w:left="580" w:right="500"/>
        </w:sectPr>
      </w:pPr>
    </w:p>
    <w:p>
      <w:pPr>
        <w:pStyle w:val="BodyText"/>
        <w:spacing w:before="82"/>
        <w:jc w:val="left"/>
      </w:pPr>
      <w:r>
        <w:rPr/>
        <w:t>Subscriber’s</w:t>
      </w:r>
      <w:r>
        <w:rPr>
          <w:spacing w:val="-8"/>
        </w:rPr>
        <w:t> </w:t>
      </w:r>
      <w:r>
        <w:rPr/>
        <w:t>Appian</w:t>
      </w:r>
      <w:r>
        <w:rPr>
          <w:spacing w:val="-7"/>
        </w:rPr>
        <w:t> </w:t>
      </w:r>
      <w:r>
        <w:rPr/>
        <w:t>projects.</w:t>
      </w:r>
      <w:r>
        <w:rPr>
          <w:spacing w:val="49"/>
        </w:rPr>
        <w:t> </w:t>
      </w:r>
      <w:r>
        <w:rPr/>
        <w:t>Designated</w:t>
      </w:r>
      <w:r>
        <w:rPr>
          <w:spacing w:val="-8"/>
        </w:rPr>
        <w:t> </w:t>
      </w:r>
      <w:r>
        <w:rPr/>
        <w:t>Support</w:t>
      </w:r>
      <w:r>
        <w:rPr>
          <w:spacing w:val="-7"/>
        </w:rPr>
        <w:t> </w:t>
      </w:r>
      <w:r>
        <w:rPr/>
        <w:t>Contacts</w:t>
      </w:r>
      <w:r>
        <w:rPr>
          <w:spacing w:val="-7"/>
        </w:rPr>
        <w:t> </w:t>
      </w:r>
      <w:r>
        <w:rPr/>
        <w:t>will</w:t>
      </w:r>
      <w:r>
        <w:rPr>
          <w:spacing w:val="-7"/>
        </w:rPr>
        <w:t> </w:t>
      </w:r>
      <w:r>
        <w:rPr/>
        <w:t>also</w:t>
      </w:r>
      <w:r>
        <w:rPr>
          <w:spacing w:val="-8"/>
        </w:rPr>
        <w:t> </w:t>
      </w:r>
      <w:r>
        <w:rPr/>
        <w:t>receive</w:t>
      </w:r>
      <w:r>
        <w:rPr>
          <w:spacing w:val="-7"/>
        </w:rPr>
        <w:t> </w:t>
      </w:r>
      <w:r>
        <w:rPr/>
        <w:t>communications</w:t>
      </w:r>
      <w:r>
        <w:rPr>
          <w:spacing w:val="-7"/>
        </w:rPr>
        <w:t> </w:t>
      </w:r>
      <w:r>
        <w:rPr/>
        <w:t>from</w:t>
      </w:r>
      <w:r>
        <w:rPr>
          <w:spacing w:val="-7"/>
        </w:rPr>
        <w:t> </w:t>
      </w:r>
      <w:r>
        <w:rPr/>
        <w:t>Appian</w:t>
      </w:r>
      <w:r>
        <w:rPr>
          <w:spacing w:val="-7"/>
        </w:rPr>
        <w:t> </w:t>
      </w:r>
      <w:r>
        <w:rPr>
          <w:spacing w:val="-2"/>
        </w:rPr>
        <w:t>Support.</w:t>
      </w:r>
    </w:p>
    <w:p>
      <w:pPr>
        <w:pStyle w:val="ListParagraph"/>
        <w:numPr>
          <w:ilvl w:val="2"/>
          <w:numId w:val="1"/>
        </w:numPr>
        <w:tabs>
          <w:tab w:pos="397" w:val="left" w:leader="none"/>
        </w:tabs>
        <w:spacing w:line="237" w:lineRule="auto" w:before="231" w:after="0"/>
        <w:ind w:left="140" w:right="224" w:firstLine="0"/>
        <w:jc w:val="both"/>
        <w:rPr>
          <w:sz w:val="20"/>
        </w:rPr>
      </w:pPr>
      <w:r>
        <w:rPr>
          <w:b/>
          <w:sz w:val="20"/>
        </w:rPr>
        <w:t>Onboarding Session </w:t>
      </w:r>
      <w:r>
        <w:rPr>
          <w:sz w:val="20"/>
        </w:rPr>
        <w:t>means that Appian will walk Subscriber through a number of items designed to accelerate Subscriber’s use of the Cloud Offering.</w:t>
      </w:r>
      <w:r>
        <w:rPr>
          <w:spacing w:val="40"/>
          <w:sz w:val="20"/>
        </w:rPr>
        <w:t> </w:t>
      </w:r>
      <w:r>
        <w:rPr>
          <w:sz w:val="20"/>
        </w:rPr>
        <w:t>This includes a review of available online resources, Technical Support services, and best practices</w:t>
      </w:r>
      <w:r>
        <w:rPr>
          <w:spacing w:val="-3"/>
          <w:sz w:val="20"/>
        </w:rPr>
        <w:t> </w:t>
      </w:r>
      <w:r>
        <w:rPr>
          <w:sz w:val="20"/>
        </w:rPr>
        <w:t>for</w:t>
      </w:r>
      <w:r>
        <w:rPr>
          <w:spacing w:val="-3"/>
          <w:sz w:val="20"/>
        </w:rPr>
        <w:t> </w:t>
      </w:r>
      <w:r>
        <w:rPr>
          <w:sz w:val="20"/>
        </w:rPr>
        <w:t>working</w:t>
      </w:r>
      <w:r>
        <w:rPr>
          <w:spacing w:val="-3"/>
          <w:sz w:val="20"/>
        </w:rPr>
        <w:t> </w:t>
      </w:r>
      <w:r>
        <w:rPr>
          <w:sz w:val="20"/>
        </w:rPr>
        <w:t>with</w:t>
      </w:r>
      <w:r>
        <w:rPr>
          <w:spacing w:val="-3"/>
          <w:sz w:val="20"/>
        </w:rPr>
        <w:t> </w:t>
      </w:r>
      <w:r>
        <w:rPr>
          <w:sz w:val="20"/>
        </w:rPr>
        <w:t>Appian</w:t>
      </w:r>
      <w:r>
        <w:rPr>
          <w:spacing w:val="-3"/>
          <w:sz w:val="20"/>
        </w:rPr>
        <w:t> </w:t>
      </w:r>
      <w:r>
        <w:rPr>
          <w:sz w:val="20"/>
        </w:rPr>
        <w:t>Support.</w:t>
      </w:r>
      <w:r>
        <w:rPr>
          <w:spacing w:val="40"/>
          <w:sz w:val="20"/>
        </w:rPr>
        <w:t> </w:t>
      </w:r>
      <w:r>
        <w:rPr>
          <w:sz w:val="20"/>
        </w:rPr>
        <w:t>For</w:t>
      </w:r>
      <w:r>
        <w:rPr>
          <w:spacing w:val="-3"/>
          <w:sz w:val="20"/>
        </w:rPr>
        <w:t> </w:t>
      </w:r>
      <w:r>
        <w:rPr>
          <w:sz w:val="20"/>
        </w:rPr>
        <w:t>Appian</w:t>
      </w:r>
      <w:r>
        <w:rPr>
          <w:spacing w:val="-3"/>
          <w:sz w:val="20"/>
        </w:rPr>
        <w:t> </w:t>
      </w:r>
      <w:r>
        <w:rPr>
          <w:sz w:val="20"/>
        </w:rPr>
        <w:t>Cloud</w:t>
      </w:r>
      <w:r>
        <w:rPr>
          <w:spacing w:val="-3"/>
          <w:sz w:val="20"/>
        </w:rPr>
        <w:t> </w:t>
      </w:r>
      <w:r>
        <w:rPr>
          <w:sz w:val="20"/>
        </w:rPr>
        <w:t>customers,</w:t>
      </w:r>
      <w:r>
        <w:rPr>
          <w:spacing w:val="-3"/>
          <w:sz w:val="20"/>
        </w:rPr>
        <w:t> </w:t>
      </w:r>
      <w:r>
        <w:rPr>
          <w:sz w:val="20"/>
        </w:rPr>
        <w:t>this</w:t>
      </w:r>
      <w:r>
        <w:rPr>
          <w:spacing w:val="-3"/>
          <w:sz w:val="20"/>
        </w:rPr>
        <w:t> </w:t>
      </w:r>
      <w:r>
        <w:rPr>
          <w:sz w:val="20"/>
        </w:rPr>
        <w:t>will</w:t>
      </w:r>
      <w:r>
        <w:rPr>
          <w:spacing w:val="-3"/>
          <w:sz w:val="20"/>
        </w:rPr>
        <w:t> </w:t>
      </w:r>
      <w:r>
        <w:rPr>
          <w:sz w:val="20"/>
        </w:rPr>
        <w:t>also</w:t>
      </w:r>
      <w:r>
        <w:rPr>
          <w:spacing w:val="-3"/>
          <w:sz w:val="20"/>
        </w:rPr>
        <w:t> </w:t>
      </w:r>
      <w:r>
        <w:rPr>
          <w:sz w:val="20"/>
        </w:rPr>
        <w:t>include</w:t>
      </w:r>
      <w:r>
        <w:rPr>
          <w:spacing w:val="-3"/>
          <w:sz w:val="20"/>
        </w:rPr>
        <w:t> </w:t>
      </w:r>
      <w:r>
        <w:rPr>
          <w:sz w:val="20"/>
        </w:rPr>
        <w:t>a</w:t>
      </w:r>
      <w:r>
        <w:rPr>
          <w:spacing w:val="-3"/>
          <w:sz w:val="20"/>
        </w:rPr>
        <w:t> </w:t>
      </w:r>
      <w:r>
        <w:rPr>
          <w:sz w:val="20"/>
        </w:rPr>
        <w:t>review</w:t>
      </w:r>
      <w:r>
        <w:rPr>
          <w:spacing w:val="-3"/>
          <w:sz w:val="20"/>
        </w:rPr>
        <w:t> </w:t>
      </w:r>
      <w:r>
        <w:rPr>
          <w:sz w:val="20"/>
        </w:rPr>
        <w:t>of</w:t>
      </w:r>
      <w:r>
        <w:rPr>
          <w:spacing w:val="-3"/>
          <w:sz w:val="20"/>
        </w:rPr>
        <w:t> </w:t>
      </w:r>
      <w:r>
        <w:rPr>
          <w:sz w:val="20"/>
        </w:rPr>
        <w:t>Appian Cloud monitoring and procedures for site maintenance and upgrades.</w:t>
      </w:r>
    </w:p>
    <w:p>
      <w:pPr>
        <w:pStyle w:val="ListParagraph"/>
        <w:numPr>
          <w:ilvl w:val="2"/>
          <w:numId w:val="1"/>
        </w:numPr>
        <w:tabs>
          <w:tab w:pos="428" w:val="left" w:leader="none"/>
        </w:tabs>
        <w:spacing w:line="235" w:lineRule="auto" w:before="231" w:after="0"/>
        <w:ind w:left="140" w:right="223" w:firstLine="0"/>
        <w:jc w:val="both"/>
        <w:rPr>
          <w:sz w:val="20"/>
        </w:rPr>
      </w:pPr>
      <w:r>
        <w:rPr>
          <w:b/>
          <w:sz w:val="20"/>
        </w:rPr>
        <w:t>Online Case Management </w:t>
      </w:r>
      <w:r>
        <w:rPr>
          <w:sz w:val="20"/>
        </w:rPr>
        <w:t>means that Subscriber’s Designated Support Contacts may access Appian’s Online Case Management system for reviewing, creating &amp; updating support cases, managing support contact designations and maintenance notifications.</w:t>
      </w:r>
    </w:p>
    <w:p>
      <w:pPr>
        <w:pStyle w:val="ListParagraph"/>
        <w:numPr>
          <w:ilvl w:val="2"/>
          <w:numId w:val="1"/>
        </w:numPr>
        <w:tabs>
          <w:tab w:pos="404" w:val="left" w:leader="none"/>
        </w:tabs>
        <w:spacing w:line="232" w:lineRule="auto" w:before="206" w:after="0"/>
        <w:ind w:left="140" w:right="229" w:firstLine="0"/>
        <w:jc w:val="both"/>
        <w:rPr>
          <w:sz w:val="20"/>
        </w:rPr>
      </w:pPr>
      <w:r>
        <w:rPr>
          <w:b/>
          <w:sz w:val="20"/>
        </w:rPr>
        <w:t>Lead Engineer Assigned </w:t>
      </w:r>
      <w:r>
        <w:rPr>
          <w:sz w:val="20"/>
        </w:rPr>
        <w:t>means that an Appian support engineer is designated to assist in the timely resolution of Subscriber’s support cases and works with Subscriber’s Designated Support Contacts in the following capacity:</w:t>
      </w:r>
    </w:p>
    <w:p>
      <w:pPr>
        <w:pStyle w:val="BodyText"/>
        <w:ind w:left="0"/>
        <w:jc w:val="left"/>
      </w:pPr>
    </w:p>
    <w:p>
      <w:pPr>
        <w:pStyle w:val="ListParagraph"/>
        <w:numPr>
          <w:ilvl w:val="3"/>
          <w:numId w:val="1"/>
        </w:numPr>
        <w:tabs>
          <w:tab w:pos="858" w:val="left" w:leader="none"/>
          <w:tab w:pos="860" w:val="left" w:leader="none"/>
        </w:tabs>
        <w:spacing w:line="240" w:lineRule="auto" w:before="0" w:after="0"/>
        <w:ind w:left="860" w:right="224" w:hanging="270"/>
        <w:jc w:val="both"/>
        <w:rPr>
          <w:sz w:val="20"/>
        </w:rPr>
      </w:pPr>
      <w:r>
        <w:rPr>
          <w:sz w:val="20"/>
        </w:rPr>
        <w:t>Configures additional Appian Cloud capabilities (High Availability, Enhanced Data Pipeline, Log Streaming, Bring Your Own Key)</w:t>
      </w:r>
    </w:p>
    <w:p>
      <w:pPr>
        <w:pStyle w:val="ListParagraph"/>
        <w:numPr>
          <w:ilvl w:val="3"/>
          <w:numId w:val="1"/>
        </w:numPr>
        <w:tabs>
          <w:tab w:pos="858" w:val="left" w:leader="none"/>
          <w:tab w:pos="860" w:val="left" w:leader="none"/>
        </w:tabs>
        <w:spacing w:line="237" w:lineRule="auto" w:before="0" w:after="0"/>
        <w:ind w:left="860" w:right="224" w:hanging="270"/>
        <w:jc w:val="both"/>
        <w:rPr>
          <w:sz w:val="20"/>
        </w:rPr>
      </w:pPr>
      <w:r>
        <w:rPr>
          <w:sz w:val="20"/>
        </w:rPr>
        <w:t>Conducts regular meetings with Subscriber’s Designated Support Contacts to share updates from</w:t>
      </w:r>
      <w:r>
        <w:rPr>
          <w:spacing w:val="-4"/>
          <w:sz w:val="20"/>
        </w:rPr>
        <w:t> </w:t>
      </w:r>
      <w:r>
        <w:rPr>
          <w:sz w:val="20"/>
        </w:rPr>
        <w:t>Appian,</w:t>
      </w:r>
      <w:r>
        <w:rPr>
          <w:spacing w:val="-4"/>
          <w:sz w:val="20"/>
        </w:rPr>
        <w:t> </w:t>
      </w:r>
      <w:r>
        <w:rPr>
          <w:sz w:val="20"/>
        </w:rPr>
        <w:t>review and prioritize support cases, coordinate site upgrade plans, review Subscriber’s upcoming project initiatives and gain visibility into Subscriber’s key dates and milestones</w:t>
      </w:r>
    </w:p>
    <w:p>
      <w:pPr>
        <w:pStyle w:val="ListParagraph"/>
        <w:numPr>
          <w:ilvl w:val="3"/>
          <w:numId w:val="1"/>
        </w:numPr>
        <w:tabs>
          <w:tab w:pos="858" w:val="left" w:leader="none"/>
        </w:tabs>
        <w:spacing w:line="241" w:lineRule="exact" w:before="0" w:after="0"/>
        <w:ind w:left="858" w:right="0" w:hanging="268"/>
        <w:jc w:val="both"/>
        <w:rPr>
          <w:sz w:val="20"/>
        </w:rPr>
      </w:pPr>
      <w:r>
        <w:rPr>
          <w:sz w:val="20"/>
        </w:rPr>
        <w:t>Acts</w:t>
      </w:r>
      <w:r>
        <w:rPr>
          <w:spacing w:val="-8"/>
          <w:sz w:val="20"/>
        </w:rPr>
        <w:t> </w:t>
      </w:r>
      <w:r>
        <w:rPr>
          <w:sz w:val="20"/>
        </w:rPr>
        <w:t>as</w:t>
      </w:r>
      <w:r>
        <w:rPr>
          <w:spacing w:val="-5"/>
          <w:sz w:val="20"/>
        </w:rPr>
        <w:t> </w:t>
      </w:r>
      <w:r>
        <w:rPr>
          <w:sz w:val="20"/>
        </w:rPr>
        <w:t>an</w:t>
      </w:r>
      <w:r>
        <w:rPr>
          <w:spacing w:val="-5"/>
          <w:sz w:val="20"/>
        </w:rPr>
        <w:t> </w:t>
      </w:r>
      <w:r>
        <w:rPr>
          <w:sz w:val="20"/>
        </w:rPr>
        <w:t>escalation</w:t>
      </w:r>
      <w:r>
        <w:rPr>
          <w:spacing w:val="-5"/>
          <w:sz w:val="20"/>
        </w:rPr>
        <w:t> </w:t>
      </w:r>
      <w:r>
        <w:rPr>
          <w:sz w:val="20"/>
        </w:rPr>
        <w:t>point</w:t>
      </w:r>
      <w:r>
        <w:rPr>
          <w:spacing w:val="-5"/>
          <w:sz w:val="20"/>
        </w:rPr>
        <w:t> </w:t>
      </w:r>
      <w:r>
        <w:rPr>
          <w:sz w:val="20"/>
        </w:rPr>
        <w:t>of</w:t>
      </w:r>
      <w:r>
        <w:rPr>
          <w:spacing w:val="-6"/>
          <w:sz w:val="20"/>
        </w:rPr>
        <w:t> </w:t>
      </w:r>
      <w:r>
        <w:rPr>
          <w:sz w:val="20"/>
        </w:rPr>
        <w:t>contact</w:t>
      </w:r>
      <w:r>
        <w:rPr>
          <w:spacing w:val="-5"/>
          <w:sz w:val="20"/>
        </w:rPr>
        <w:t> </w:t>
      </w:r>
      <w:r>
        <w:rPr>
          <w:sz w:val="20"/>
        </w:rPr>
        <w:t>for</w:t>
      </w:r>
      <w:r>
        <w:rPr>
          <w:spacing w:val="-5"/>
          <w:sz w:val="20"/>
        </w:rPr>
        <w:t> </w:t>
      </w:r>
      <w:r>
        <w:rPr>
          <w:sz w:val="20"/>
        </w:rPr>
        <w:t>any</w:t>
      </w:r>
      <w:r>
        <w:rPr>
          <w:spacing w:val="-5"/>
          <w:sz w:val="20"/>
        </w:rPr>
        <w:t> </w:t>
      </w:r>
      <w:r>
        <w:rPr>
          <w:sz w:val="20"/>
        </w:rPr>
        <w:t>Subscriber</w:t>
      </w:r>
      <w:r>
        <w:rPr>
          <w:spacing w:val="-5"/>
          <w:sz w:val="20"/>
        </w:rPr>
        <w:t> </w:t>
      </w:r>
      <w:r>
        <w:rPr>
          <w:sz w:val="20"/>
        </w:rPr>
        <w:t>support</w:t>
      </w:r>
      <w:r>
        <w:rPr>
          <w:spacing w:val="-5"/>
          <w:sz w:val="20"/>
        </w:rPr>
        <w:t> </w:t>
      </w:r>
      <w:r>
        <w:rPr>
          <w:spacing w:val="-2"/>
          <w:sz w:val="20"/>
        </w:rPr>
        <w:t>cases</w:t>
      </w:r>
    </w:p>
    <w:p>
      <w:pPr>
        <w:pStyle w:val="ListParagraph"/>
        <w:numPr>
          <w:ilvl w:val="3"/>
          <w:numId w:val="1"/>
        </w:numPr>
        <w:tabs>
          <w:tab w:pos="858" w:val="left" w:leader="none"/>
        </w:tabs>
        <w:spacing w:line="241" w:lineRule="exact" w:before="0" w:after="0"/>
        <w:ind w:left="858" w:right="0" w:hanging="268"/>
        <w:jc w:val="both"/>
        <w:rPr>
          <w:sz w:val="20"/>
        </w:rPr>
      </w:pPr>
      <w:r>
        <w:rPr>
          <w:sz w:val="20"/>
        </w:rPr>
        <w:t>Provides</w:t>
      </w:r>
      <w:r>
        <w:rPr>
          <w:spacing w:val="-7"/>
          <w:sz w:val="20"/>
        </w:rPr>
        <w:t> </w:t>
      </w:r>
      <w:r>
        <w:rPr>
          <w:sz w:val="20"/>
        </w:rPr>
        <w:t>Monthly</w:t>
      </w:r>
      <w:r>
        <w:rPr>
          <w:spacing w:val="-6"/>
          <w:sz w:val="20"/>
        </w:rPr>
        <w:t> </w:t>
      </w:r>
      <w:r>
        <w:rPr>
          <w:sz w:val="20"/>
        </w:rPr>
        <w:t>Health</w:t>
      </w:r>
      <w:r>
        <w:rPr>
          <w:spacing w:val="-7"/>
          <w:sz w:val="20"/>
        </w:rPr>
        <w:t> </w:t>
      </w:r>
      <w:r>
        <w:rPr>
          <w:sz w:val="20"/>
        </w:rPr>
        <w:t>Check</w:t>
      </w:r>
      <w:r>
        <w:rPr>
          <w:spacing w:val="-6"/>
          <w:sz w:val="20"/>
        </w:rPr>
        <w:t> </w:t>
      </w:r>
      <w:r>
        <w:rPr>
          <w:spacing w:val="-2"/>
          <w:sz w:val="20"/>
        </w:rPr>
        <w:t>analysis</w:t>
      </w:r>
    </w:p>
    <w:p>
      <w:pPr>
        <w:pStyle w:val="ListParagraph"/>
        <w:numPr>
          <w:ilvl w:val="2"/>
          <w:numId w:val="1"/>
        </w:numPr>
        <w:tabs>
          <w:tab w:pos="359" w:val="left" w:leader="none"/>
        </w:tabs>
        <w:spacing w:line="240" w:lineRule="auto" w:before="239" w:after="0"/>
        <w:ind w:left="140" w:right="224" w:firstLine="0"/>
        <w:jc w:val="both"/>
        <w:rPr>
          <w:sz w:val="20"/>
        </w:rPr>
      </w:pPr>
      <w:r>
        <w:rPr>
          <w:b/>
          <w:sz w:val="20"/>
        </w:rPr>
        <w:t>Monthly Health Check Reviews </w:t>
      </w:r>
      <w:r>
        <w:rPr>
          <w:sz w:val="20"/>
        </w:rPr>
        <w:t>means that Appian will provide Subscriber with monthly reports</w:t>
      </w:r>
      <w:r>
        <w:rPr>
          <w:spacing w:val="-3"/>
          <w:sz w:val="20"/>
        </w:rPr>
        <w:t> </w:t>
      </w:r>
      <w:r>
        <w:rPr>
          <w:sz w:val="20"/>
        </w:rPr>
        <w:t>on</w:t>
      </w:r>
      <w:r>
        <w:rPr>
          <w:spacing w:val="-3"/>
          <w:sz w:val="20"/>
        </w:rPr>
        <w:t> </w:t>
      </w:r>
      <w:r>
        <w:rPr>
          <w:sz w:val="20"/>
        </w:rPr>
        <w:t>the</w:t>
      </w:r>
      <w:r>
        <w:rPr>
          <w:spacing w:val="-3"/>
          <w:sz w:val="20"/>
        </w:rPr>
        <w:t> </w:t>
      </w:r>
      <w:r>
        <w:rPr>
          <w:sz w:val="20"/>
        </w:rPr>
        <w:t>application design patterns and performance risks in Subscriber’s</w:t>
      </w:r>
      <w:r>
        <w:rPr>
          <w:spacing w:val="-4"/>
          <w:sz w:val="20"/>
        </w:rPr>
        <w:t> </w:t>
      </w:r>
      <w:r>
        <w:rPr>
          <w:sz w:val="20"/>
        </w:rPr>
        <w:t>environment</w:t>
      </w:r>
      <w:r>
        <w:rPr>
          <w:spacing w:val="-4"/>
          <w:sz w:val="20"/>
        </w:rPr>
        <w:t> </w:t>
      </w:r>
      <w:r>
        <w:rPr>
          <w:sz w:val="20"/>
        </w:rPr>
        <w:t>associated</w:t>
      </w:r>
      <w:r>
        <w:rPr>
          <w:spacing w:val="-4"/>
          <w:sz w:val="20"/>
        </w:rPr>
        <w:t> </w:t>
      </w:r>
      <w:r>
        <w:rPr>
          <w:sz w:val="20"/>
        </w:rPr>
        <w:t>with</w:t>
      </w:r>
      <w:r>
        <w:rPr>
          <w:spacing w:val="-4"/>
          <w:sz w:val="20"/>
        </w:rPr>
        <w:t> </w:t>
      </w:r>
      <w:r>
        <w:rPr>
          <w:sz w:val="20"/>
        </w:rPr>
        <w:t>Subscriber’s</w:t>
      </w:r>
      <w:r>
        <w:rPr>
          <w:spacing w:val="-4"/>
          <w:sz w:val="20"/>
        </w:rPr>
        <w:t> </w:t>
      </w:r>
      <w:r>
        <w:rPr>
          <w:sz w:val="20"/>
        </w:rPr>
        <w:t>Appian</w:t>
      </w:r>
      <w:r>
        <w:rPr>
          <w:spacing w:val="-4"/>
          <w:sz w:val="20"/>
        </w:rPr>
        <w:t> </w:t>
      </w:r>
      <w:r>
        <w:rPr>
          <w:sz w:val="20"/>
        </w:rPr>
        <w:t>applications</w:t>
      </w:r>
      <w:r>
        <w:rPr>
          <w:spacing w:val="-4"/>
          <w:sz w:val="20"/>
        </w:rPr>
        <w:t> </w:t>
      </w:r>
      <w:r>
        <w:rPr>
          <w:sz w:val="20"/>
        </w:rPr>
        <w:t>using </w:t>
      </w:r>
      <w:hyperlink r:id="rId15">
        <w:r>
          <w:rPr>
            <w:color w:val="1154CC"/>
            <w:sz w:val="20"/>
            <w:u w:val="thick" w:color="1154CC"/>
          </w:rPr>
          <w:t>Appian Health Check</w:t>
        </w:r>
      </w:hyperlink>
      <w:r>
        <w:rPr>
          <w:sz w:val="20"/>
          <w:u w:val="none"/>
        </w:rPr>
        <w:t>.</w:t>
      </w:r>
      <w:r>
        <w:rPr>
          <w:spacing w:val="80"/>
          <w:sz w:val="20"/>
          <w:u w:val="none"/>
        </w:rPr>
        <w:t> </w:t>
      </w:r>
      <w:r>
        <w:rPr>
          <w:sz w:val="20"/>
          <w:u w:val="none"/>
        </w:rPr>
        <w:t>On a monthly basis, Subscriber’s Lead Engineer Assigned will review the results from one production environment with Subscriber’s Designated Support Contacts, help prioritize items that require action and provide details on any items identified for assistance by Appian Support.</w:t>
      </w:r>
    </w:p>
    <w:p>
      <w:pPr>
        <w:pStyle w:val="ListParagraph"/>
        <w:numPr>
          <w:ilvl w:val="2"/>
          <w:numId w:val="1"/>
        </w:numPr>
        <w:tabs>
          <w:tab w:pos="420" w:val="left" w:leader="none"/>
        </w:tabs>
        <w:spacing w:line="240" w:lineRule="auto" w:before="233" w:after="0"/>
        <w:ind w:left="140" w:right="219" w:firstLine="0"/>
        <w:jc w:val="both"/>
        <w:rPr>
          <w:sz w:val="20"/>
        </w:rPr>
      </w:pPr>
      <w:r>
        <w:rPr>
          <w:b/>
          <w:sz w:val="20"/>
        </w:rPr>
        <w:t>Annual Corporate Visit </w:t>
      </w:r>
      <w:r>
        <w:rPr>
          <w:sz w:val="20"/>
        </w:rPr>
        <w:t>means that the Lead Engineer Assigned</w:t>
      </w:r>
      <w:r>
        <w:rPr>
          <w:spacing w:val="-3"/>
          <w:sz w:val="20"/>
        </w:rPr>
        <w:t> </w:t>
      </w:r>
      <w:r>
        <w:rPr>
          <w:sz w:val="20"/>
        </w:rPr>
        <w:t>to</w:t>
      </w:r>
      <w:r>
        <w:rPr>
          <w:spacing w:val="-3"/>
          <w:sz w:val="20"/>
        </w:rPr>
        <w:t> </w:t>
      </w:r>
      <w:r>
        <w:rPr>
          <w:sz w:val="20"/>
        </w:rPr>
        <w:t>Subscriber</w:t>
      </w:r>
      <w:r>
        <w:rPr>
          <w:spacing w:val="-3"/>
          <w:sz w:val="20"/>
        </w:rPr>
        <w:t> </w:t>
      </w:r>
      <w:r>
        <w:rPr>
          <w:sz w:val="20"/>
        </w:rPr>
        <w:t>will</w:t>
      </w:r>
      <w:r>
        <w:rPr>
          <w:spacing w:val="-3"/>
          <w:sz w:val="20"/>
        </w:rPr>
        <w:t> </w:t>
      </w:r>
      <w:r>
        <w:rPr>
          <w:sz w:val="20"/>
        </w:rPr>
        <w:t>partner</w:t>
      </w:r>
      <w:r>
        <w:rPr>
          <w:spacing w:val="-3"/>
          <w:sz w:val="20"/>
        </w:rPr>
        <w:t> </w:t>
      </w:r>
      <w:r>
        <w:rPr>
          <w:sz w:val="20"/>
        </w:rPr>
        <w:t>with</w:t>
      </w:r>
      <w:r>
        <w:rPr>
          <w:spacing w:val="-3"/>
          <w:sz w:val="20"/>
        </w:rPr>
        <w:t> </w:t>
      </w:r>
      <w:r>
        <w:rPr>
          <w:sz w:val="20"/>
        </w:rPr>
        <w:t>Subscriber’s</w:t>
      </w:r>
      <w:r>
        <w:rPr>
          <w:spacing w:val="-3"/>
          <w:sz w:val="20"/>
        </w:rPr>
        <w:t> </w:t>
      </w:r>
      <w:r>
        <w:rPr>
          <w:sz w:val="20"/>
        </w:rPr>
        <w:t>account team to coordinate an annual visit to Appian HQ, where Subscriber’s representatives will meet with cross-departmental Appian leadership.</w:t>
      </w:r>
      <w:r>
        <w:rPr>
          <w:spacing w:val="80"/>
          <w:sz w:val="20"/>
        </w:rPr>
        <w:t> </w:t>
      </w:r>
      <w:r>
        <w:rPr>
          <w:sz w:val="20"/>
        </w:rPr>
        <w:t>The agenda for</w:t>
      </w:r>
      <w:r>
        <w:rPr>
          <w:spacing w:val="-3"/>
          <w:sz w:val="20"/>
        </w:rPr>
        <w:t> </w:t>
      </w:r>
      <w:r>
        <w:rPr>
          <w:sz w:val="20"/>
        </w:rPr>
        <w:t>the</w:t>
      </w:r>
      <w:r>
        <w:rPr>
          <w:spacing w:val="-3"/>
          <w:sz w:val="20"/>
        </w:rPr>
        <w:t> </w:t>
      </w:r>
      <w:r>
        <w:rPr>
          <w:sz w:val="20"/>
        </w:rPr>
        <w:t>visit</w:t>
      </w:r>
      <w:r>
        <w:rPr>
          <w:spacing w:val="-3"/>
          <w:sz w:val="20"/>
        </w:rPr>
        <w:t> </w:t>
      </w:r>
      <w:r>
        <w:rPr>
          <w:sz w:val="20"/>
        </w:rPr>
        <w:t>will</w:t>
      </w:r>
      <w:r>
        <w:rPr>
          <w:spacing w:val="-3"/>
          <w:sz w:val="20"/>
        </w:rPr>
        <w:t> </w:t>
      </w:r>
      <w:r>
        <w:rPr>
          <w:sz w:val="20"/>
        </w:rPr>
        <w:t>focus</w:t>
      </w:r>
      <w:r>
        <w:rPr>
          <w:spacing w:val="-3"/>
          <w:sz w:val="20"/>
        </w:rPr>
        <w:t> </w:t>
      </w:r>
      <w:r>
        <w:rPr>
          <w:sz w:val="20"/>
        </w:rPr>
        <w:t>on</w:t>
      </w:r>
      <w:r>
        <w:rPr>
          <w:spacing w:val="-3"/>
          <w:sz w:val="20"/>
        </w:rPr>
        <w:t> </w:t>
      </w:r>
      <w:r>
        <w:rPr>
          <w:sz w:val="20"/>
        </w:rPr>
        <w:t>reviewing,</w:t>
      </w:r>
      <w:r>
        <w:rPr>
          <w:spacing w:val="-3"/>
          <w:sz w:val="20"/>
        </w:rPr>
        <w:t> </w:t>
      </w:r>
      <w:r>
        <w:rPr>
          <w:sz w:val="20"/>
        </w:rPr>
        <w:t>and</w:t>
      </w:r>
      <w:r>
        <w:rPr>
          <w:spacing w:val="-3"/>
          <w:sz w:val="20"/>
        </w:rPr>
        <w:t> </w:t>
      </w:r>
      <w:r>
        <w:rPr>
          <w:sz w:val="20"/>
        </w:rPr>
        <w:t>getting</w:t>
      </w:r>
      <w:r>
        <w:rPr>
          <w:spacing w:val="-3"/>
          <w:sz w:val="20"/>
        </w:rPr>
        <w:t> </w:t>
      </w:r>
      <w:r>
        <w:rPr>
          <w:sz w:val="20"/>
        </w:rPr>
        <w:t>Subscriber</w:t>
      </w:r>
      <w:r>
        <w:rPr>
          <w:spacing w:val="-3"/>
          <w:sz w:val="20"/>
        </w:rPr>
        <w:t> </w:t>
      </w:r>
      <w:r>
        <w:rPr>
          <w:sz w:val="20"/>
        </w:rPr>
        <w:t>feedback</w:t>
      </w:r>
      <w:r>
        <w:rPr>
          <w:spacing w:val="-3"/>
          <w:sz w:val="20"/>
        </w:rPr>
        <w:t> </w:t>
      </w:r>
      <w:r>
        <w:rPr>
          <w:sz w:val="20"/>
        </w:rPr>
        <w:t>on,</w:t>
      </w:r>
      <w:r>
        <w:rPr>
          <w:spacing w:val="-3"/>
          <w:sz w:val="20"/>
        </w:rPr>
        <w:t> </w:t>
      </w:r>
      <w:r>
        <w:rPr>
          <w:sz w:val="20"/>
        </w:rPr>
        <w:t>Appian</w:t>
      </w:r>
      <w:r>
        <w:rPr>
          <w:spacing w:val="-3"/>
          <w:sz w:val="20"/>
        </w:rPr>
        <w:t> </w:t>
      </w:r>
      <w:r>
        <w:rPr>
          <w:sz w:val="20"/>
        </w:rPr>
        <w:t>products and services and providing Subscriber’s representatives with insight into Appian’s future development plans.</w:t>
      </w:r>
    </w:p>
    <w:p>
      <w:pPr>
        <w:pStyle w:val="Heading1"/>
        <w:numPr>
          <w:ilvl w:val="1"/>
          <w:numId w:val="1"/>
        </w:numPr>
        <w:tabs>
          <w:tab w:pos="415" w:val="left" w:leader="none"/>
        </w:tabs>
        <w:spacing w:line="240" w:lineRule="auto" w:before="234" w:after="0"/>
        <w:ind w:left="415" w:right="0" w:hanging="275"/>
        <w:jc w:val="both"/>
      </w:pPr>
      <w:r>
        <w:rPr/>
        <w:t>Compliance</w:t>
      </w:r>
      <w:r>
        <w:rPr>
          <w:spacing w:val="-6"/>
        </w:rPr>
        <w:t> </w:t>
      </w:r>
      <w:r>
        <w:rPr/>
        <w:t>&amp;</w:t>
      </w:r>
      <w:r>
        <w:rPr>
          <w:spacing w:val="-5"/>
        </w:rPr>
        <w:t> </w:t>
      </w:r>
      <w:r>
        <w:rPr/>
        <w:t>Audit</w:t>
      </w:r>
      <w:r>
        <w:rPr>
          <w:spacing w:val="-5"/>
        </w:rPr>
        <w:t> </w:t>
      </w:r>
      <w:r>
        <w:rPr>
          <w:spacing w:val="-2"/>
        </w:rPr>
        <w:t>Definitions.</w:t>
      </w:r>
    </w:p>
    <w:p>
      <w:pPr>
        <w:pStyle w:val="ListParagraph"/>
        <w:numPr>
          <w:ilvl w:val="2"/>
          <w:numId w:val="1"/>
        </w:numPr>
        <w:tabs>
          <w:tab w:pos="321" w:val="left" w:leader="none"/>
        </w:tabs>
        <w:spacing w:line="240" w:lineRule="auto" w:before="239" w:after="0"/>
        <w:ind w:left="140" w:right="229" w:firstLine="0"/>
        <w:jc w:val="both"/>
        <w:rPr>
          <w:sz w:val="20"/>
        </w:rPr>
      </w:pPr>
      <w:r>
        <w:rPr>
          <w:b/>
          <w:sz w:val="20"/>
        </w:rPr>
        <w:t>Standardized Information Gathering </w:t>
      </w:r>
      <w:r>
        <w:rPr>
          <w:sz w:val="20"/>
        </w:rPr>
        <w:t>means that, upon request, Appian will provide Subscriber with a</w:t>
      </w:r>
      <w:r>
        <w:rPr>
          <w:spacing w:val="-3"/>
          <w:sz w:val="20"/>
        </w:rPr>
        <w:t> </w:t>
      </w:r>
      <w:r>
        <w:rPr>
          <w:sz w:val="20"/>
        </w:rPr>
        <w:t>copy</w:t>
      </w:r>
      <w:r>
        <w:rPr>
          <w:spacing w:val="-3"/>
          <w:sz w:val="20"/>
        </w:rPr>
        <w:t> </w:t>
      </w:r>
      <w:r>
        <w:rPr>
          <w:sz w:val="20"/>
        </w:rPr>
        <w:t>of</w:t>
      </w:r>
      <w:r>
        <w:rPr>
          <w:spacing w:val="-3"/>
          <w:sz w:val="20"/>
        </w:rPr>
        <w:t> </w:t>
      </w:r>
      <w:r>
        <w:rPr>
          <w:sz w:val="20"/>
        </w:rPr>
        <w:t>the Standardized Information Gathering (SIG) Questionnaire completed by Appian on an annual basis.</w:t>
      </w:r>
      <w:r>
        <w:rPr>
          <w:spacing w:val="40"/>
          <w:sz w:val="20"/>
        </w:rPr>
        <w:t> </w:t>
      </w:r>
      <w:r>
        <w:rPr>
          <w:sz w:val="20"/>
        </w:rPr>
        <w:t>The SIG is a comprehensive risk management tool for</w:t>
      </w:r>
      <w:r>
        <w:rPr>
          <w:spacing w:val="-8"/>
          <w:sz w:val="20"/>
        </w:rPr>
        <w:t> </w:t>
      </w:r>
      <w:r>
        <w:rPr>
          <w:sz w:val="20"/>
        </w:rPr>
        <w:t>cybersecurity,</w:t>
      </w:r>
      <w:r>
        <w:rPr>
          <w:spacing w:val="-8"/>
          <w:sz w:val="20"/>
        </w:rPr>
        <w:t> </w:t>
      </w:r>
      <w:r>
        <w:rPr>
          <w:sz w:val="20"/>
        </w:rPr>
        <w:t>IT,</w:t>
      </w:r>
      <w:r>
        <w:rPr>
          <w:spacing w:val="-8"/>
          <w:sz w:val="20"/>
        </w:rPr>
        <w:t> </w:t>
      </w:r>
      <w:r>
        <w:rPr>
          <w:sz w:val="20"/>
        </w:rPr>
        <w:t>privacy,</w:t>
      </w:r>
      <w:r>
        <w:rPr>
          <w:spacing w:val="-8"/>
          <w:sz w:val="20"/>
        </w:rPr>
        <w:t> </w:t>
      </w:r>
      <w:r>
        <w:rPr>
          <w:sz w:val="20"/>
        </w:rPr>
        <w:t>data</w:t>
      </w:r>
      <w:r>
        <w:rPr>
          <w:spacing w:val="-8"/>
          <w:sz w:val="20"/>
        </w:rPr>
        <w:t> </w:t>
      </w:r>
      <w:r>
        <w:rPr>
          <w:sz w:val="20"/>
        </w:rPr>
        <w:t>security</w:t>
      </w:r>
      <w:r>
        <w:rPr>
          <w:spacing w:val="-8"/>
          <w:sz w:val="20"/>
        </w:rPr>
        <w:t> </w:t>
      </w:r>
      <w:r>
        <w:rPr>
          <w:sz w:val="20"/>
        </w:rPr>
        <w:t>and</w:t>
      </w:r>
      <w:r>
        <w:rPr>
          <w:spacing w:val="-8"/>
          <w:sz w:val="20"/>
        </w:rPr>
        <w:t> </w:t>
      </w:r>
      <w:r>
        <w:rPr>
          <w:sz w:val="20"/>
        </w:rPr>
        <w:t>business</w:t>
      </w:r>
      <w:r>
        <w:rPr>
          <w:spacing w:val="-8"/>
          <w:sz w:val="20"/>
        </w:rPr>
        <w:t> </w:t>
      </w:r>
      <w:r>
        <w:rPr>
          <w:sz w:val="20"/>
        </w:rPr>
        <w:t>resilience</w:t>
      </w:r>
      <w:r>
        <w:rPr>
          <w:spacing w:val="-8"/>
          <w:sz w:val="20"/>
        </w:rPr>
        <w:t> </w:t>
      </w:r>
      <w:r>
        <w:rPr>
          <w:sz w:val="20"/>
        </w:rPr>
        <w:t>in</w:t>
      </w:r>
      <w:r>
        <w:rPr>
          <w:spacing w:val="-8"/>
          <w:sz w:val="20"/>
        </w:rPr>
        <w:t> </w:t>
      </w:r>
      <w:r>
        <w:rPr>
          <w:sz w:val="20"/>
        </w:rPr>
        <w:t>an</w:t>
      </w:r>
      <w:r>
        <w:rPr>
          <w:spacing w:val="-8"/>
          <w:sz w:val="20"/>
        </w:rPr>
        <w:t> </w:t>
      </w:r>
      <w:r>
        <w:rPr>
          <w:sz w:val="20"/>
        </w:rPr>
        <w:t>information technology environment.</w:t>
      </w:r>
      <w:r>
        <w:rPr>
          <w:spacing w:val="40"/>
          <w:sz w:val="20"/>
        </w:rPr>
        <w:t> </w:t>
      </w:r>
      <w:r>
        <w:rPr>
          <w:sz w:val="20"/>
        </w:rPr>
        <w:t>The SIG collects information</w:t>
      </w:r>
      <w:r>
        <w:rPr>
          <w:spacing w:val="-4"/>
          <w:sz w:val="20"/>
        </w:rPr>
        <w:t> </w:t>
      </w:r>
      <w:r>
        <w:rPr>
          <w:sz w:val="20"/>
        </w:rPr>
        <w:t>security</w:t>
      </w:r>
      <w:r>
        <w:rPr>
          <w:spacing w:val="-4"/>
          <w:sz w:val="20"/>
        </w:rPr>
        <w:t> </w:t>
      </w:r>
      <w:r>
        <w:rPr>
          <w:sz w:val="20"/>
        </w:rPr>
        <w:t>information</w:t>
      </w:r>
      <w:r>
        <w:rPr>
          <w:spacing w:val="-4"/>
          <w:sz w:val="20"/>
        </w:rPr>
        <w:t> </w:t>
      </w:r>
      <w:r>
        <w:rPr>
          <w:sz w:val="20"/>
        </w:rPr>
        <w:t>from</w:t>
      </w:r>
      <w:r>
        <w:rPr>
          <w:spacing w:val="-4"/>
          <w:sz w:val="20"/>
        </w:rPr>
        <w:t> </w:t>
      </w:r>
      <w:r>
        <w:rPr>
          <w:sz w:val="20"/>
        </w:rPr>
        <w:t>18</w:t>
      </w:r>
      <w:r>
        <w:rPr>
          <w:spacing w:val="-4"/>
          <w:sz w:val="20"/>
        </w:rPr>
        <w:t> </w:t>
      </w:r>
      <w:r>
        <w:rPr>
          <w:sz w:val="20"/>
        </w:rPr>
        <w:t>risk</w:t>
      </w:r>
      <w:r>
        <w:rPr>
          <w:spacing w:val="-4"/>
          <w:sz w:val="20"/>
        </w:rPr>
        <w:t> </w:t>
      </w:r>
      <w:r>
        <w:rPr>
          <w:sz w:val="20"/>
        </w:rPr>
        <w:t>domains</w:t>
      </w:r>
      <w:r>
        <w:rPr>
          <w:spacing w:val="-4"/>
          <w:sz w:val="20"/>
        </w:rPr>
        <w:t> </w:t>
      </w:r>
      <w:r>
        <w:rPr>
          <w:sz w:val="20"/>
        </w:rPr>
        <w:t>within</w:t>
      </w:r>
      <w:r>
        <w:rPr>
          <w:spacing w:val="-4"/>
          <w:sz w:val="20"/>
        </w:rPr>
        <w:t> </w:t>
      </w:r>
      <w:r>
        <w:rPr>
          <w:sz w:val="20"/>
        </w:rPr>
        <w:t>the</w:t>
      </w:r>
      <w:r>
        <w:rPr>
          <w:spacing w:val="-4"/>
          <w:sz w:val="20"/>
        </w:rPr>
        <w:t> </w:t>
      </w:r>
      <w:r>
        <w:rPr>
          <w:sz w:val="20"/>
        </w:rPr>
        <w:t>Appian</w:t>
      </w:r>
      <w:r>
        <w:rPr>
          <w:spacing w:val="-4"/>
          <w:sz w:val="20"/>
        </w:rPr>
        <w:t> </w:t>
      </w:r>
      <w:r>
        <w:rPr>
          <w:sz w:val="20"/>
        </w:rPr>
        <w:t>Cloud </w:t>
      </w:r>
      <w:r>
        <w:rPr>
          <w:spacing w:val="-2"/>
          <w:sz w:val="20"/>
        </w:rPr>
        <w:t>environment.</w:t>
      </w:r>
    </w:p>
    <w:p>
      <w:pPr>
        <w:pStyle w:val="ListParagraph"/>
        <w:numPr>
          <w:ilvl w:val="2"/>
          <w:numId w:val="1"/>
        </w:numPr>
        <w:tabs>
          <w:tab w:pos="367" w:val="left" w:leader="none"/>
        </w:tabs>
        <w:spacing w:line="242" w:lineRule="auto" w:before="228" w:after="0"/>
        <w:ind w:left="140" w:right="229" w:firstLine="0"/>
        <w:jc w:val="both"/>
        <w:rPr>
          <w:sz w:val="20"/>
        </w:rPr>
      </w:pPr>
      <w:r>
        <w:rPr>
          <w:b/>
          <w:sz w:val="20"/>
        </w:rPr>
        <w:t>Annual Customer Audit </w:t>
      </w:r>
      <w:r>
        <w:rPr>
          <w:sz w:val="20"/>
        </w:rPr>
        <w:t>means that, on an annual</w:t>
      </w:r>
      <w:r>
        <w:rPr>
          <w:spacing w:val="-3"/>
          <w:sz w:val="20"/>
        </w:rPr>
        <w:t> </w:t>
      </w:r>
      <w:r>
        <w:rPr>
          <w:sz w:val="20"/>
        </w:rPr>
        <w:t>basis,</w:t>
      </w:r>
      <w:r>
        <w:rPr>
          <w:spacing w:val="-3"/>
          <w:sz w:val="20"/>
        </w:rPr>
        <w:t> </w:t>
      </w:r>
      <w:r>
        <w:rPr>
          <w:sz w:val="20"/>
        </w:rPr>
        <w:t>Subscriber’s</w:t>
      </w:r>
      <w:r>
        <w:rPr>
          <w:spacing w:val="-3"/>
          <w:sz w:val="20"/>
        </w:rPr>
        <w:t> </w:t>
      </w:r>
      <w:r>
        <w:rPr>
          <w:sz w:val="20"/>
        </w:rPr>
        <w:t>representatives</w:t>
      </w:r>
      <w:r>
        <w:rPr>
          <w:spacing w:val="-3"/>
          <w:sz w:val="20"/>
        </w:rPr>
        <w:t> </w:t>
      </w:r>
      <w:r>
        <w:rPr>
          <w:sz w:val="20"/>
        </w:rPr>
        <w:t>may</w:t>
      </w:r>
      <w:r>
        <w:rPr>
          <w:spacing w:val="-3"/>
          <w:sz w:val="20"/>
        </w:rPr>
        <w:t> </w:t>
      </w:r>
      <w:r>
        <w:rPr>
          <w:sz w:val="20"/>
        </w:rPr>
        <w:t>visit</w:t>
      </w:r>
      <w:r>
        <w:rPr>
          <w:spacing w:val="-3"/>
          <w:sz w:val="20"/>
        </w:rPr>
        <w:t> </w:t>
      </w:r>
      <w:r>
        <w:rPr>
          <w:sz w:val="20"/>
        </w:rPr>
        <w:t>Appian</w:t>
      </w:r>
      <w:r>
        <w:rPr>
          <w:spacing w:val="-3"/>
          <w:sz w:val="20"/>
        </w:rPr>
        <w:t> </w:t>
      </w:r>
      <w:r>
        <w:rPr>
          <w:sz w:val="20"/>
        </w:rPr>
        <w:t>HQ</w:t>
      </w:r>
      <w:r>
        <w:rPr>
          <w:spacing w:val="-3"/>
          <w:sz w:val="20"/>
        </w:rPr>
        <w:t> </w:t>
      </w:r>
      <w:r>
        <w:rPr>
          <w:sz w:val="20"/>
        </w:rPr>
        <w:t>once</w:t>
      </w:r>
      <w:r>
        <w:rPr>
          <w:spacing w:val="-3"/>
          <w:sz w:val="20"/>
        </w:rPr>
        <w:t> </w:t>
      </w:r>
      <w:r>
        <w:rPr>
          <w:sz w:val="20"/>
        </w:rPr>
        <w:t>at</w:t>
      </w:r>
      <w:r>
        <w:rPr>
          <w:spacing w:val="-3"/>
          <w:sz w:val="20"/>
        </w:rPr>
        <w:t> </w:t>
      </w:r>
      <w:r>
        <w:rPr>
          <w:sz w:val="20"/>
        </w:rPr>
        <w:t>a mutually agreed upon time to perform a detailed security audit on-site.</w:t>
      </w:r>
    </w:p>
    <w:p>
      <w:pPr>
        <w:pStyle w:val="ListParagraph"/>
        <w:numPr>
          <w:ilvl w:val="2"/>
          <w:numId w:val="1"/>
        </w:numPr>
        <w:tabs>
          <w:tab w:pos="428" w:val="left" w:leader="none"/>
        </w:tabs>
        <w:spacing w:line="235" w:lineRule="auto" w:before="201" w:after="0"/>
        <w:ind w:left="140" w:right="222" w:firstLine="0"/>
        <w:jc w:val="both"/>
        <w:rPr>
          <w:sz w:val="20"/>
        </w:rPr>
      </w:pPr>
      <w:r>
        <w:rPr>
          <w:b/>
          <w:sz w:val="20"/>
        </w:rPr>
        <w:t>Site</w:t>
      </w:r>
      <w:r>
        <w:rPr>
          <w:b/>
          <w:spacing w:val="27"/>
          <w:sz w:val="20"/>
        </w:rPr>
        <w:t> </w:t>
      </w:r>
      <w:r>
        <w:rPr>
          <w:b/>
          <w:sz w:val="20"/>
        </w:rPr>
        <w:t>Data</w:t>
      </w:r>
      <w:r>
        <w:rPr>
          <w:b/>
          <w:spacing w:val="27"/>
          <w:sz w:val="20"/>
        </w:rPr>
        <w:t> </w:t>
      </w:r>
      <w:r>
        <w:rPr>
          <w:b/>
          <w:sz w:val="20"/>
        </w:rPr>
        <w:t>Audit</w:t>
      </w:r>
      <w:r>
        <w:rPr>
          <w:b/>
          <w:spacing w:val="27"/>
          <w:sz w:val="20"/>
        </w:rPr>
        <w:t> </w:t>
      </w:r>
      <w:r>
        <w:rPr>
          <w:b/>
          <w:sz w:val="20"/>
        </w:rPr>
        <w:t>Requests</w:t>
      </w:r>
      <w:r>
        <w:rPr>
          <w:b/>
          <w:spacing w:val="27"/>
          <w:sz w:val="20"/>
        </w:rPr>
        <w:t> </w:t>
      </w:r>
      <w:r>
        <w:rPr>
          <w:sz w:val="20"/>
        </w:rPr>
        <w:t>means</w:t>
      </w:r>
      <w:r>
        <w:rPr>
          <w:spacing w:val="26"/>
          <w:sz w:val="20"/>
        </w:rPr>
        <w:t> </w:t>
      </w:r>
      <w:r>
        <w:rPr>
          <w:sz w:val="20"/>
        </w:rPr>
        <w:t>that</w:t>
      </w:r>
      <w:r>
        <w:rPr>
          <w:spacing w:val="26"/>
          <w:sz w:val="20"/>
        </w:rPr>
        <w:t> </w:t>
      </w:r>
      <w:r>
        <w:rPr>
          <w:sz w:val="20"/>
        </w:rPr>
        <w:t>Appian Support will work with Subscriber to satisfy any reasonable custom site</w:t>
      </w:r>
      <w:r>
        <w:rPr>
          <w:spacing w:val="28"/>
          <w:sz w:val="20"/>
        </w:rPr>
        <w:t> </w:t>
      </w:r>
      <w:r>
        <w:rPr>
          <w:sz w:val="20"/>
        </w:rPr>
        <w:t>data</w:t>
      </w:r>
      <w:r>
        <w:rPr>
          <w:spacing w:val="28"/>
          <w:sz w:val="20"/>
        </w:rPr>
        <w:t> </w:t>
      </w:r>
      <w:r>
        <w:rPr>
          <w:sz w:val="20"/>
        </w:rPr>
        <w:t>audit</w:t>
      </w:r>
      <w:r>
        <w:rPr>
          <w:spacing w:val="28"/>
          <w:sz w:val="20"/>
        </w:rPr>
        <w:t> </w:t>
      </w:r>
      <w:r>
        <w:rPr>
          <w:sz w:val="20"/>
        </w:rPr>
        <w:t>requests, which can be run on up to a monthly basis.</w:t>
      </w:r>
      <w:r>
        <w:rPr>
          <w:spacing w:val="80"/>
          <w:sz w:val="20"/>
        </w:rPr>
        <w:t> </w:t>
      </w:r>
      <w:r>
        <w:rPr>
          <w:sz w:val="20"/>
        </w:rPr>
        <w:t>Examples include access logs, login audit files or mail server logs.</w:t>
      </w:r>
    </w:p>
    <w:p>
      <w:pPr>
        <w:pStyle w:val="ListParagraph"/>
        <w:numPr>
          <w:ilvl w:val="2"/>
          <w:numId w:val="1"/>
        </w:numPr>
        <w:tabs>
          <w:tab w:pos="479" w:val="left" w:leader="none"/>
        </w:tabs>
        <w:spacing w:line="242" w:lineRule="auto" w:before="236" w:after="0"/>
        <w:ind w:left="140" w:right="219" w:firstLine="0"/>
        <w:jc w:val="both"/>
        <w:rPr>
          <w:sz w:val="20"/>
        </w:rPr>
      </w:pPr>
      <w:r>
        <w:rPr>
          <w:b/>
          <w:sz w:val="20"/>
        </w:rPr>
        <w:t>Annual Security Questionnaire </w:t>
      </w:r>
      <w:r>
        <w:rPr>
          <w:sz w:val="20"/>
        </w:rPr>
        <w:t>means that Appian will complete Subscriber’s custom information security questionnaire on an annual basis.</w:t>
      </w:r>
    </w:p>
    <w:p>
      <w:pPr>
        <w:pStyle w:val="ListParagraph"/>
        <w:numPr>
          <w:ilvl w:val="2"/>
          <w:numId w:val="1"/>
        </w:numPr>
        <w:tabs>
          <w:tab w:pos="497" w:val="left" w:leader="none"/>
        </w:tabs>
        <w:spacing w:line="240" w:lineRule="auto" w:before="233" w:after="0"/>
        <w:ind w:left="140" w:right="220" w:firstLine="0"/>
        <w:jc w:val="both"/>
        <w:rPr>
          <w:sz w:val="20"/>
        </w:rPr>
      </w:pPr>
      <w:r>
        <w:rPr>
          <w:b/>
          <w:sz w:val="20"/>
        </w:rPr>
        <w:t>Data Loss Prevention </w:t>
      </w:r>
      <w:r>
        <w:rPr>
          <w:sz w:val="20"/>
        </w:rPr>
        <w:t>is a capability of the Appian Cloud Offering that monitors the access by Appian’s Cloud support personnel to Subscriber’s instances of the Cloud Offering for the purposes of detecting abnormal user behavior that could lead to inappropriate data disclosure, and as further described in the Documentation.</w:t>
      </w:r>
      <w:r>
        <w:rPr>
          <w:spacing w:val="40"/>
          <w:sz w:val="20"/>
        </w:rPr>
        <w:t> </w:t>
      </w:r>
      <w:r>
        <w:rPr>
          <w:sz w:val="20"/>
        </w:rPr>
        <w:t>The monitoring and analysis of such</w:t>
      </w:r>
      <w:r>
        <w:rPr>
          <w:spacing w:val="-3"/>
          <w:sz w:val="20"/>
        </w:rPr>
        <w:t> </w:t>
      </w:r>
      <w:r>
        <w:rPr>
          <w:sz w:val="20"/>
        </w:rPr>
        <w:t>information</w:t>
      </w:r>
      <w:r>
        <w:rPr>
          <w:spacing w:val="-3"/>
          <w:sz w:val="20"/>
        </w:rPr>
        <w:t> </w:t>
      </w:r>
      <w:r>
        <w:rPr>
          <w:sz w:val="20"/>
        </w:rPr>
        <w:t>for</w:t>
      </w:r>
      <w:r>
        <w:rPr>
          <w:spacing w:val="-3"/>
          <w:sz w:val="20"/>
        </w:rPr>
        <w:t> </w:t>
      </w:r>
      <w:r>
        <w:rPr>
          <w:sz w:val="20"/>
        </w:rPr>
        <w:t>Data</w:t>
      </w:r>
      <w:r>
        <w:rPr>
          <w:spacing w:val="-3"/>
          <w:sz w:val="20"/>
        </w:rPr>
        <w:t> </w:t>
      </w:r>
      <w:r>
        <w:rPr>
          <w:sz w:val="20"/>
        </w:rPr>
        <w:t>Loss</w:t>
      </w:r>
      <w:r>
        <w:rPr>
          <w:spacing w:val="-3"/>
          <w:sz w:val="20"/>
        </w:rPr>
        <w:t> </w:t>
      </w:r>
      <w:r>
        <w:rPr>
          <w:sz w:val="20"/>
        </w:rPr>
        <w:t>Prevention</w:t>
      </w:r>
      <w:r>
        <w:rPr>
          <w:spacing w:val="-3"/>
          <w:sz w:val="20"/>
        </w:rPr>
        <w:t> </w:t>
      </w:r>
      <w:r>
        <w:rPr>
          <w:sz w:val="20"/>
        </w:rPr>
        <w:t>purposes</w:t>
      </w:r>
      <w:r>
        <w:rPr>
          <w:spacing w:val="-3"/>
          <w:sz w:val="20"/>
        </w:rPr>
        <w:t> </w:t>
      </w:r>
      <w:r>
        <w:rPr>
          <w:sz w:val="20"/>
        </w:rPr>
        <w:t>is</w:t>
      </w:r>
      <w:r>
        <w:rPr>
          <w:spacing w:val="-3"/>
          <w:sz w:val="20"/>
        </w:rPr>
        <w:t> </w:t>
      </w:r>
      <w:r>
        <w:rPr>
          <w:sz w:val="20"/>
        </w:rPr>
        <w:t>conducted</w:t>
      </w:r>
      <w:r>
        <w:rPr>
          <w:spacing w:val="-3"/>
          <w:sz w:val="20"/>
        </w:rPr>
        <w:t> </w:t>
      </w:r>
      <w:r>
        <w:rPr>
          <w:sz w:val="20"/>
        </w:rPr>
        <w:t>in</w:t>
      </w:r>
      <w:r>
        <w:rPr>
          <w:spacing w:val="-3"/>
          <w:sz w:val="20"/>
        </w:rPr>
        <w:t> </w:t>
      </w:r>
      <w:r>
        <w:rPr>
          <w:sz w:val="20"/>
        </w:rPr>
        <w:t>the</w:t>
      </w:r>
      <w:r>
        <w:rPr>
          <w:spacing w:val="-3"/>
          <w:sz w:val="20"/>
        </w:rPr>
        <w:t> </w:t>
      </w:r>
      <w:r>
        <w:rPr>
          <w:sz w:val="20"/>
        </w:rPr>
        <w:t>United</w:t>
      </w:r>
      <w:r>
        <w:rPr>
          <w:spacing w:val="-3"/>
          <w:sz w:val="20"/>
        </w:rPr>
        <w:t> </w:t>
      </w:r>
      <w:r>
        <w:rPr>
          <w:sz w:val="20"/>
        </w:rPr>
        <w:t>States</w:t>
      </w:r>
      <w:r>
        <w:rPr>
          <w:spacing w:val="-3"/>
          <w:sz w:val="20"/>
        </w:rPr>
        <w:t> </w:t>
      </w:r>
      <w:r>
        <w:rPr>
          <w:sz w:val="20"/>
        </w:rPr>
        <w:t>on</w:t>
      </w:r>
      <w:r>
        <w:rPr>
          <w:spacing w:val="-3"/>
          <w:sz w:val="20"/>
        </w:rPr>
        <w:t> </w:t>
      </w:r>
      <w:r>
        <w:rPr>
          <w:sz w:val="20"/>
        </w:rPr>
        <w:t>servers</w:t>
      </w:r>
      <w:r>
        <w:rPr>
          <w:spacing w:val="-3"/>
          <w:sz w:val="20"/>
        </w:rPr>
        <w:t> </w:t>
      </w:r>
      <w:r>
        <w:rPr>
          <w:sz w:val="20"/>
        </w:rPr>
        <w:t>located</w:t>
      </w:r>
      <w:r>
        <w:rPr>
          <w:spacing w:val="-3"/>
          <w:sz w:val="20"/>
        </w:rPr>
        <w:t> </w:t>
      </w:r>
      <w:r>
        <w:rPr>
          <w:sz w:val="20"/>
        </w:rPr>
        <w:t>in</w:t>
      </w:r>
      <w:r>
        <w:rPr>
          <w:spacing w:val="-3"/>
          <w:sz w:val="20"/>
        </w:rPr>
        <w:t> </w:t>
      </w:r>
      <w:r>
        <w:rPr>
          <w:sz w:val="20"/>
        </w:rPr>
        <w:t>the United States.</w:t>
      </w:r>
      <w:r>
        <w:rPr>
          <w:spacing w:val="40"/>
          <w:sz w:val="20"/>
        </w:rPr>
        <w:t> </w:t>
      </w:r>
      <w:r>
        <w:rPr>
          <w:sz w:val="20"/>
        </w:rPr>
        <w:t>Data Loss Prevention must be enabled by Subscriber’s Designated Support Contacts.</w:t>
      </w:r>
    </w:p>
    <w:p>
      <w:pPr>
        <w:spacing w:after="0" w:line="240" w:lineRule="auto"/>
        <w:jc w:val="both"/>
        <w:rPr>
          <w:sz w:val="20"/>
        </w:rPr>
        <w:sectPr>
          <w:pgSz w:w="12240" w:h="15840"/>
          <w:pgMar w:header="0" w:footer="419" w:top="900" w:bottom="600" w:left="580" w:right="500"/>
        </w:sectPr>
      </w:pPr>
    </w:p>
    <w:p>
      <w:pPr>
        <w:pStyle w:val="Heading1"/>
        <w:numPr>
          <w:ilvl w:val="1"/>
          <w:numId w:val="1"/>
        </w:numPr>
        <w:tabs>
          <w:tab w:pos="371" w:val="left" w:leader="none"/>
        </w:tabs>
        <w:spacing w:line="240" w:lineRule="auto" w:before="77" w:after="0"/>
        <w:ind w:left="371" w:right="0" w:hanging="231"/>
        <w:jc w:val="both"/>
      </w:pPr>
      <w:r>
        <w:rPr/>
        <w:t>Appian</w:t>
      </w:r>
      <w:r>
        <w:rPr>
          <w:spacing w:val="-8"/>
        </w:rPr>
        <w:t> </w:t>
      </w:r>
      <w:r>
        <w:rPr/>
        <w:t>Cloud</w:t>
      </w:r>
      <w:r>
        <w:rPr>
          <w:spacing w:val="-8"/>
        </w:rPr>
        <w:t> </w:t>
      </w:r>
      <w:r>
        <w:rPr/>
        <w:t>Capabilities</w:t>
      </w:r>
      <w:r>
        <w:rPr>
          <w:spacing w:val="-7"/>
        </w:rPr>
        <w:t> </w:t>
      </w:r>
      <w:r>
        <w:rPr>
          <w:spacing w:val="-2"/>
        </w:rPr>
        <w:t>Definitions.</w:t>
      </w:r>
    </w:p>
    <w:p>
      <w:pPr>
        <w:pStyle w:val="ListParagraph"/>
        <w:numPr>
          <w:ilvl w:val="2"/>
          <w:numId w:val="1"/>
        </w:numPr>
        <w:tabs>
          <w:tab w:pos="352" w:val="left" w:leader="none"/>
        </w:tabs>
        <w:spacing w:line="232" w:lineRule="auto" w:before="209" w:after="0"/>
        <w:ind w:left="140" w:right="226" w:firstLine="0"/>
        <w:jc w:val="both"/>
        <w:rPr>
          <w:sz w:val="20"/>
        </w:rPr>
      </w:pPr>
      <w:r>
        <w:rPr>
          <w:b/>
          <w:sz w:val="20"/>
        </w:rPr>
        <w:t>Default Instance Size (Non-Prod) </w:t>
      </w:r>
      <w:r>
        <w:rPr>
          <w:sz w:val="20"/>
        </w:rPr>
        <w:t>means that Appian provides a Large default instance size for non-production environments.</w:t>
      </w:r>
      <w:r>
        <w:rPr>
          <w:spacing w:val="40"/>
          <w:sz w:val="20"/>
        </w:rPr>
        <w:t> </w:t>
      </w:r>
      <w:r>
        <w:rPr>
          <w:sz w:val="20"/>
        </w:rPr>
        <w:t>With Enterprise Support, non-production environments are provisioned on a xLarge instance size.</w:t>
      </w:r>
    </w:p>
    <w:p>
      <w:pPr>
        <w:pStyle w:val="BodyText"/>
        <w:spacing w:before="35"/>
        <w:ind w:left="0"/>
        <w:jc w:val="left"/>
      </w:pPr>
    </w:p>
    <w:p>
      <w:pPr>
        <w:pStyle w:val="ListParagraph"/>
        <w:numPr>
          <w:ilvl w:val="2"/>
          <w:numId w:val="1"/>
        </w:numPr>
        <w:tabs>
          <w:tab w:pos="352" w:val="left" w:leader="none"/>
        </w:tabs>
        <w:spacing w:line="237" w:lineRule="auto" w:before="0" w:after="0"/>
        <w:ind w:left="140" w:right="225" w:firstLine="0"/>
        <w:jc w:val="both"/>
        <w:rPr>
          <w:sz w:val="20"/>
        </w:rPr>
      </w:pPr>
      <w:r>
        <w:rPr>
          <w:b/>
          <w:sz w:val="20"/>
        </w:rPr>
        <w:t>High</w:t>
      </w:r>
      <w:r>
        <w:rPr>
          <w:b/>
          <w:spacing w:val="-4"/>
          <w:sz w:val="20"/>
        </w:rPr>
        <w:t> </w:t>
      </w:r>
      <w:r>
        <w:rPr>
          <w:b/>
          <w:sz w:val="20"/>
        </w:rPr>
        <w:t>Availability</w:t>
      </w:r>
      <w:r>
        <w:rPr>
          <w:b/>
          <w:spacing w:val="-4"/>
          <w:sz w:val="20"/>
        </w:rPr>
        <w:t> </w:t>
      </w:r>
      <w:r>
        <w:rPr>
          <w:b/>
          <w:sz w:val="20"/>
        </w:rPr>
        <w:t>for</w:t>
      </w:r>
      <w:r>
        <w:rPr>
          <w:b/>
          <w:spacing w:val="-4"/>
          <w:sz w:val="20"/>
        </w:rPr>
        <w:t> </w:t>
      </w:r>
      <w:r>
        <w:rPr>
          <w:b/>
          <w:sz w:val="20"/>
        </w:rPr>
        <w:t>Production</w:t>
      </w:r>
      <w:r>
        <w:rPr>
          <w:b/>
          <w:spacing w:val="-4"/>
          <w:sz w:val="20"/>
        </w:rPr>
        <w:t> </w:t>
      </w:r>
      <w:r>
        <w:rPr>
          <w:b/>
          <w:sz w:val="20"/>
        </w:rPr>
        <w:t>-</w:t>
      </w:r>
      <w:r>
        <w:rPr>
          <w:b/>
          <w:spacing w:val="-4"/>
          <w:sz w:val="20"/>
        </w:rPr>
        <w:t> </w:t>
      </w:r>
      <w:r>
        <w:rPr>
          <w:sz w:val="20"/>
        </w:rPr>
        <w:t>High</w:t>
      </w:r>
      <w:r>
        <w:rPr>
          <w:spacing w:val="-4"/>
          <w:sz w:val="20"/>
        </w:rPr>
        <w:t> </w:t>
      </w:r>
      <w:r>
        <w:rPr>
          <w:sz w:val="20"/>
        </w:rPr>
        <w:t>Availability</w:t>
      </w:r>
      <w:r>
        <w:rPr>
          <w:spacing w:val="-4"/>
          <w:sz w:val="20"/>
        </w:rPr>
        <w:t> </w:t>
      </w:r>
      <w:r>
        <w:rPr>
          <w:sz w:val="20"/>
        </w:rPr>
        <w:t>for</w:t>
      </w:r>
      <w:r>
        <w:rPr>
          <w:spacing w:val="-4"/>
          <w:sz w:val="20"/>
        </w:rPr>
        <w:t> </w:t>
      </w:r>
      <w:r>
        <w:rPr>
          <w:sz w:val="20"/>
        </w:rPr>
        <w:t>Production</w:t>
      </w:r>
      <w:r>
        <w:rPr>
          <w:spacing w:val="-4"/>
          <w:sz w:val="20"/>
        </w:rPr>
        <w:t> </w:t>
      </w:r>
      <w:r>
        <w:rPr>
          <w:sz w:val="20"/>
        </w:rPr>
        <w:t>means</w:t>
      </w:r>
      <w:r>
        <w:rPr>
          <w:spacing w:val="-4"/>
          <w:sz w:val="20"/>
        </w:rPr>
        <w:t> </w:t>
      </w:r>
      <w:r>
        <w:rPr>
          <w:sz w:val="20"/>
        </w:rPr>
        <w:t>that</w:t>
      </w:r>
      <w:r>
        <w:rPr>
          <w:spacing w:val="-4"/>
          <w:sz w:val="20"/>
        </w:rPr>
        <w:t> </w:t>
      </w:r>
      <w:r>
        <w:rPr>
          <w:sz w:val="20"/>
        </w:rPr>
        <w:t>Subscriber’s</w:t>
      </w:r>
      <w:r>
        <w:rPr>
          <w:spacing w:val="-4"/>
          <w:sz w:val="20"/>
        </w:rPr>
        <w:t> </w:t>
      </w:r>
      <w:r>
        <w:rPr>
          <w:sz w:val="20"/>
        </w:rPr>
        <w:t>production</w:t>
      </w:r>
      <w:r>
        <w:rPr>
          <w:spacing w:val="-4"/>
          <w:sz w:val="20"/>
        </w:rPr>
        <w:t> </w:t>
      </w:r>
      <w:r>
        <w:rPr>
          <w:sz w:val="20"/>
        </w:rPr>
        <w:t>instance</w:t>
      </w:r>
      <w:r>
        <w:rPr>
          <w:spacing w:val="-4"/>
          <w:sz w:val="20"/>
        </w:rPr>
        <w:t> </w:t>
      </w:r>
      <w:r>
        <w:rPr>
          <w:sz w:val="20"/>
        </w:rPr>
        <w:t>of</w:t>
      </w:r>
      <w:r>
        <w:rPr>
          <w:spacing w:val="-4"/>
          <w:sz w:val="20"/>
        </w:rPr>
        <w:t> </w:t>
      </w:r>
      <w:r>
        <w:rPr>
          <w:sz w:val="20"/>
        </w:rPr>
        <w:t>the Cloud Offering will be provided simultaneously through three Availability</w:t>
      </w:r>
      <w:r>
        <w:rPr>
          <w:spacing w:val="-4"/>
          <w:sz w:val="20"/>
        </w:rPr>
        <w:t> </w:t>
      </w:r>
      <w:r>
        <w:rPr>
          <w:sz w:val="20"/>
        </w:rPr>
        <w:t>Zones</w:t>
      </w:r>
      <w:r>
        <w:rPr>
          <w:spacing w:val="-4"/>
          <w:sz w:val="20"/>
        </w:rPr>
        <w:t> </w:t>
      </w:r>
      <w:r>
        <w:rPr>
          <w:sz w:val="20"/>
        </w:rPr>
        <w:t>without</w:t>
      </w:r>
      <w:r>
        <w:rPr>
          <w:spacing w:val="-4"/>
          <w:sz w:val="20"/>
        </w:rPr>
        <w:t> </w:t>
      </w:r>
      <w:r>
        <w:rPr>
          <w:sz w:val="20"/>
        </w:rPr>
        <w:t>a</w:t>
      </w:r>
      <w:r>
        <w:rPr>
          <w:spacing w:val="-4"/>
          <w:sz w:val="20"/>
        </w:rPr>
        <w:t> </w:t>
      </w:r>
      <w:r>
        <w:rPr>
          <w:sz w:val="20"/>
        </w:rPr>
        <w:t>single</w:t>
      </w:r>
      <w:r>
        <w:rPr>
          <w:spacing w:val="-4"/>
          <w:sz w:val="20"/>
        </w:rPr>
        <w:t> </w:t>
      </w:r>
      <w:r>
        <w:rPr>
          <w:sz w:val="20"/>
        </w:rPr>
        <w:t>point</w:t>
      </w:r>
      <w:r>
        <w:rPr>
          <w:spacing w:val="-4"/>
          <w:sz w:val="20"/>
        </w:rPr>
        <w:t> </w:t>
      </w:r>
      <w:r>
        <w:rPr>
          <w:sz w:val="20"/>
        </w:rPr>
        <w:t>of</w:t>
      </w:r>
      <w:r>
        <w:rPr>
          <w:spacing w:val="-4"/>
          <w:sz w:val="20"/>
        </w:rPr>
        <w:t> </w:t>
      </w:r>
      <w:r>
        <w:rPr>
          <w:sz w:val="20"/>
        </w:rPr>
        <w:t>failure.</w:t>
      </w:r>
      <w:r>
        <w:rPr>
          <w:spacing w:val="-4"/>
          <w:sz w:val="20"/>
        </w:rPr>
        <w:t> </w:t>
      </w:r>
      <w:r>
        <w:rPr>
          <w:sz w:val="20"/>
        </w:rPr>
        <w:t>(Appian’s standard Cloud Offering provides service through a single Availability Zone only.) Each Availability Zone</w:t>
      </w:r>
      <w:r>
        <w:rPr>
          <w:spacing w:val="-6"/>
          <w:sz w:val="20"/>
        </w:rPr>
        <w:t> </w:t>
      </w:r>
      <w:r>
        <w:rPr>
          <w:sz w:val="20"/>
        </w:rPr>
        <w:t>will</w:t>
      </w:r>
      <w:r>
        <w:rPr>
          <w:spacing w:val="-6"/>
          <w:sz w:val="20"/>
        </w:rPr>
        <w:t> </w:t>
      </w:r>
      <w:r>
        <w:rPr>
          <w:sz w:val="20"/>
        </w:rPr>
        <w:t>be</w:t>
      </w:r>
      <w:r>
        <w:rPr>
          <w:spacing w:val="-6"/>
          <w:sz w:val="20"/>
        </w:rPr>
        <w:t> </w:t>
      </w:r>
      <w:r>
        <w:rPr>
          <w:sz w:val="20"/>
        </w:rPr>
        <w:t>located</w:t>
      </w:r>
      <w:r>
        <w:rPr>
          <w:spacing w:val="-6"/>
          <w:sz w:val="20"/>
        </w:rPr>
        <w:t> </w:t>
      </w:r>
      <w:r>
        <w:rPr>
          <w:sz w:val="20"/>
        </w:rPr>
        <w:t>in the Subscriber’s selected region. Appian will maintain such servers and storages necessary to keep up to date with Subscriber’s applications and data in order to operate Subscriber’s Cloud Offering in such three Availability Zones.</w:t>
      </w:r>
    </w:p>
    <w:p>
      <w:pPr>
        <w:pStyle w:val="BodyText"/>
        <w:spacing w:before="34"/>
        <w:ind w:left="0"/>
        <w:jc w:val="left"/>
      </w:pPr>
    </w:p>
    <w:p>
      <w:pPr>
        <w:pStyle w:val="BodyText"/>
        <w:spacing w:line="237" w:lineRule="auto"/>
        <w:ind w:right="219"/>
      </w:pPr>
      <w:r>
        <w:rPr>
          <w:b/>
        </w:rPr>
        <w:t>RTO &amp; RPO For High Availability.</w:t>
      </w:r>
      <w:r>
        <w:rPr>
          <w:b/>
          <w:spacing w:val="40"/>
        </w:rPr>
        <w:t> </w:t>
      </w:r>
      <w:r>
        <w:rPr/>
        <w:t>As a part of the High Availability Offering, Appian will provide Subscriber with a Recovery Point Objective (RPO) and Recovery Time Objective (RTO) based on Subscriber’s level of Support. RPO</w:t>
      </w:r>
      <w:r>
        <w:rPr>
          <w:spacing w:val="-4"/>
        </w:rPr>
        <w:t> </w:t>
      </w:r>
      <w:r>
        <w:rPr/>
        <w:t>means that the Subscriber data restored to the High Availability Cloud Offering will be no older than</w:t>
      </w:r>
      <w:r>
        <w:rPr>
          <w:spacing w:val="-3"/>
        </w:rPr>
        <w:t> </w:t>
      </w:r>
      <w:r>
        <w:rPr/>
        <w:t>the</w:t>
      </w:r>
      <w:r>
        <w:rPr>
          <w:spacing w:val="-3"/>
        </w:rPr>
        <w:t> </w:t>
      </w:r>
      <w:r>
        <w:rPr/>
        <w:t>number</w:t>
      </w:r>
      <w:r>
        <w:rPr>
          <w:spacing w:val="-3"/>
        </w:rPr>
        <w:t> </w:t>
      </w:r>
      <w:r>
        <w:rPr/>
        <w:t>of</w:t>
      </w:r>
      <w:r>
        <w:rPr>
          <w:spacing w:val="-3"/>
        </w:rPr>
        <w:t> </w:t>
      </w:r>
      <w:r>
        <w:rPr/>
        <w:t>minutes</w:t>
      </w:r>
      <w:r>
        <w:rPr>
          <w:spacing w:val="-3"/>
        </w:rPr>
        <w:t> </w:t>
      </w:r>
      <w:r>
        <w:rPr/>
        <w:t>set forth below prior to the event that led to the Cloud Offering no longer writing data to the High Availability database servers.</w:t>
      </w:r>
      <w:r>
        <w:rPr>
          <w:spacing w:val="-4"/>
        </w:rPr>
        <w:t> </w:t>
      </w:r>
      <w:r>
        <w:rPr/>
        <w:t>RTO</w:t>
      </w:r>
      <w:r>
        <w:rPr>
          <w:spacing w:val="-4"/>
        </w:rPr>
        <w:t> </w:t>
      </w:r>
      <w:r>
        <w:rPr/>
        <w:t>means</w:t>
      </w:r>
      <w:r>
        <w:rPr>
          <w:spacing w:val="-4"/>
        </w:rPr>
        <w:t> </w:t>
      </w:r>
      <w:r>
        <w:rPr/>
        <w:t>that</w:t>
      </w:r>
      <w:r>
        <w:rPr>
          <w:spacing w:val="-4"/>
        </w:rPr>
        <w:t> </w:t>
      </w:r>
      <w:r>
        <w:rPr/>
        <w:t>the</w:t>
      </w:r>
      <w:r>
        <w:rPr>
          <w:spacing w:val="-4"/>
        </w:rPr>
        <w:t> </w:t>
      </w:r>
      <w:r>
        <w:rPr/>
        <w:t>High</w:t>
      </w:r>
      <w:r>
        <w:rPr>
          <w:spacing w:val="-4"/>
        </w:rPr>
        <w:t> </w:t>
      </w:r>
      <w:r>
        <w:rPr/>
        <w:t>Availability</w:t>
      </w:r>
      <w:r>
        <w:rPr>
          <w:spacing w:val="-4"/>
        </w:rPr>
        <w:t> </w:t>
      </w:r>
      <w:r>
        <w:rPr/>
        <w:t>Cloud</w:t>
      </w:r>
      <w:r>
        <w:rPr>
          <w:spacing w:val="-4"/>
        </w:rPr>
        <w:t> </w:t>
      </w:r>
      <w:r>
        <w:rPr/>
        <w:t>Offering</w:t>
      </w:r>
      <w:r>
        <w:rPr>
          <w:spacing w:val="-4"/>
        </w:rPr>
        <w:t> </w:t>
      </w:r>
      <w:r>
        <w:rPr/>
        <w:t>will</w:t>
      </w:r>
      <w:r>
        <w:rPr>
          <w:spacing w:val="-4"/>
        </w:rPr>
        <w:t> </w:t>
      </w:r>
      <w:r>
        <w:rPr/>
        <w:t>be</w:t>
      </w:r>
      <w:r>
        <w:rPr>
          <w:spacing w:val="-4"/>
        </w:rPr>
        <w:t> </w:t>
      </w:r>
      <w:r>
        <w:rPr/>
        <w:t>unavailable</w:t>
      </w:r>
      <w:r>
        <w:rPr>
          <w:spacing w:val="-4"/>
        </w:rPr>
        <w:t> </w:t>
      </w:r>
      <w:r>
        <w:rPr/>
        <w:t>for</w:t>
      </w:r>
      <w:r>
        <w:rPr>
          <w:spacing w:val="-4"/>
        </w:rPr>
        <w:t> </w:t>
      </w:r>
      <w:r>
        <w:rPr/>
        <w:t>no</w:t>
      </w:r>
      <w:r>
        <w:rPr>
          <w:spacing w:val="-4"/>
        </w:rPr>
        <w:t> </w:t>
      </w:r>
      <w:r>
        <w:rPr/>
        <w:t>longer</w:t>
      </w:r>
      <w:r>
        <w:rPr>
          <w:spacing w:val="-4"/>
        </w:rPr>
        <w:t> </w:t>
      </w:r>
      <w:r>
        <w:rPr/>
        <w:t>than</w:t>
      </w:r>
      <w:r>
        <w:rPr>
          <w:spacing w:val="-4"/>
        </w:rPr>
        <w:t> </w:t>
      </w:r>
      <w:r>
        <w:rPr/>
        <w:t>the</w:t>
      </w:r>
      <w:r>
        <w:rPr>
          <w:spacing w:val="-4"/>
        </w:rPr>
        <w:t> </w:t>
      </w:r>
      <w:r>
        <w:rPr/>
        <w:t>number</w:t>
      </w:r>
      <w:r>
        <w:rPr>
          <w:spacing w:val="-4"/>
        </w:rPr>
        <w:t> </w:t>
      </w:r>
      <w:r>
        <w:rPr/>
        <w:t>of</w:t>
      </w:r>
      <w:r>
        <w:rPr>
          <w:spacing w:val="40"/>
        </w:rPr>
        <w:t> </w:t>
      </w:r>
      <w:r>
        <w:rPr/>
        <w:t>minutes set</w:t>
      </w:r>
      <w:r>
        <w:rPr>
          <w:spacing w:val="-3"/>
        </w:rPr>
        <w:t> </w:t>
      </w:r>
      <w:r>
        <w:rPr/>
        <w:t>forth</w:t>
      </w:r>
      <w:r>
        <w:rPr>
          <w:spacing w:val="-3"/>
        </w:rPr>
        <w:t> </w:t>
      </w:r>
      <w:r>
        <w:rPr/>
        <w:t>below</w:t>
      </w:r>
      <w:r>
        <w:rPr>
          <w:spacing w:val="-3"/>
        </w:rPr>
        <w:t> </w:t>
      </w:r>
      <w:r>
        <w:rPr/>
        <w:t>in</w:t>
      </w:r>
      <w:r>
        <w:rPr>
          <w:spacing w:val="-3"/>
        </w:rPr>
        <w:t> </w:t>
      </w:r>
      <w:r>
        <w:rPr/>
        <w:t>the</w:t>
      </w:r>
      <w:r>
        <w:rPr>
          <w:spacing w:val="-3"/>
        </w:rPr>
        <w:t> </w:t>
      </w:r>
      <w:r>
        <w:rPr/>
        <w:t>event</w:t>
      </w:r>
      <w:r>
        <w:rPr>
          <w:spacing w:val="-3"/>
        </w:rPr>
        <w:t> </w:t>
      </w:r>
      <w:r>
        <w:rPr/>
        <w:t>of</w:t>
      </w:r>
      <w:r>
        <w:rPr>
          <w:spacing w:val="-3"/>
        </w:rPr>
        <w:t> </w:t>
      </w:r>
      <w:r>
        <w:rPr/>
        <w:t>unscheduled</w:t>
      </w:r>
      <w:r>
        <w:rPr>
          <w:spacing w:val="-3"/>
        </w:rPr>
        <w:t> </w:t>
      </w:r>
      <w:r>
        <w:rPr/>
        <w:t>unavailability</w:t>
      </w:r>
      <w:r>
        <w:rPr>
          <w:spacing w:val="-3"/>
        </w:rPr>
        <w:t> </w:t>
      </w:r>
      <w:r>
        <w:rPr/>
        <w:t>of</w:t>
      </w:r>
      <w:r>
        <w:rPr>
          <w:spacing w:val="-3"/>
        </w:rPr>
        <w:t> </w:t>
      </w:r>
      <w:r>
        <w:rPr/>
        <w:t>the</w:t>
      </w:r>
      <w:r>
        <w:rPr>
          <w:spacing w:val="-3"/>
        </w:rPr>
        <w:t> </w:t>
      </w:r>
      <w:r>
        <w:rPr/>
        <w:t>Cloud</w:t>
      </w:r>
      <w:r>
        <w:rPr>
          <w:spacing w:val="-3"/>
        </w:rPr>
        <w:t> </w:t>
      </w:r>
      <w:r>
        <w:rPr/>
        <w:t>Offering</w:t>
      </w:r>
      <w:r>
        <w:rPr>
          <w:spacing w:val="-3"/>
        </w:rPr>
        <w:t> </w:t>
      </w:r>
      <w:r>
        <w:rPr/>
        <w:t>for</w:t>
      </w:r>
      <w:r>
        <w:rPr>
          <w:spacing w:val="-3"/>
        </w:rPr>
        <w:t> </w:t>
      </w:r>
      <w:r>
        <w:rPr/>
        <w:t>any</w:t>
      </w:r>
      <w:r>
        <w:rPr>
          <w:spacing w:val="-3"/>
        </w:rPr>
        <w:t> </w:t>
      </w:r>
      <w:r>
        <w:rPr/>
        <w:t>reason</w:t>
      </w:r>
      <w:r>
        <w:rPr>
          <w:spacing w:val="-3"/>
        </w:rPr>
        <w:t> </w:t>
      </w:r>
      <w:r>
        <w:rPr/>
        <w:t>within</w:t>
      </w:r>
      <w:r>
        <w:rPr>
          <w:spacing w:val="-3"/>
        </w:rPr>
        <w:t> </w:t>
      </w:r>
      <w:r>
        <w:rPr/>
        <w:t>the</w:t>
      </w:r>
      <w:r>
        <w:rPr>
          <w:spacing w:val="-3"/>
        </w:rPr>
        <w:t> </w:t>
      </w:r>
      <w:r>
        <w:rPr/>
        <w:t>control</w:t>
      </w:r>
      <w:r>
        <w:rPr>
          <w:spacing w:val="-3"/>
        </w:rPr>
        <w:t> </w:t>
      </w:r>
      <w:r>
        <w:rPr/>
        <w:t>of</w:t>
      </w:r>
      <w:r>
        <w:rPr>
          <w:spacing w:val="-3"/>
        </w:rPr>
        <w:t> </w:t>
      </w:r>
      <w:r>
        <w:rPr/>
        <w:t>Appian or Appian’s service providers.</w:t>
      </w:r>
    </w:p>
    <w:p>
      <w:pPr>
        <w:pStyle w:val="BodyText"/>
        <w:spacing w:before="11"/>
        <w:ind w:left="0"/>
        <w:jc w:val="left"/>
        <w:rPr>
          <w:sz w:val="16"/>
        </w:rPr>
      </w:pPr>
    </w:p>
    <w:tbl>
      <w:tblPr>
        <w:tblW w:w="0" w:type="auto"/>
        <w:jc w:val="left"/>
        <w:tblInd w:w="17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420"/>
        <w:gridCol w:w="2640"/>
        <w:gridCol w:w="2660"/>
      </w:tblGrid>
      <w:tr>
        <w:trPr>
          <w:trHeight w:val="359" w:hRule="atLeast"/>
        </w:trPr>
        <w:tc>
          <w:tcPr>
            <w:tcW w:w="2420" w:type="dxa"/>
            <w:shd w:val="clear" w:color="auto" w:fill="0A5394"/>
          </w:tcPr>
          <w:p>
            <w:pPr>
              <w:pStyle w:val="TableParagraph"/>
              <w:spacing w:before="47"/>
              <w:ind w:left="10"/>
              <w:rPr>
                <w:b/>
                <w:sz w:val="20"/>
              </w:rPr>
            </w:pPr>
            <w:r>
              <w:rPr>
                <w:b/>
                <w:color w:val="FFFFFF"/>
                <w:sz w:val="20"/>
              </w:rPr>
              <w:t>Level</w:t>
            </w:r>
            <w:r>
              <w:rPr>
                <w:b/>
                <w:color w:val="FFFFFF"/>
                <w:spacing w:val="-4"/>
                <w:sz w:val="20"/>
              </w:rPr>
              <w:t> </w:t>
            </w:r>
            <w:r>
              <w:rPr>
                <w:b/>
                <w:color w:val="FFFFFF"/>
                <w:sz w:val="20"/>
              </w:rPr>
              <w:t>of</w:t>
            </w:r>
            <w:r>
              <w:rPr>
                <w:b/>
                <w:color w:val="FFFFFF"/>
                <w:spacing w:val="-3"/>
                <w:sz w:val="20"/>
              </w:rPr>
              <w:t> </w:t>
            </w:r>
            <w:r>
              <w:rPr>
                <w:b/>
                <w:color w:val="FFFFFF"/>
                <w:spacing w:val="-2"/>
                <w:sz w:val="20"/>
              </w:rPr>
              <w:t>Support</w:t>
            </w:r>
          </w:p>
        </w:tc>
        <w:tc>
          <w:tcPr>
            <w:tcW w:w="2640" w:type="dxa"/>
            <w:shd w:val="clear" w:color="auto" w:fill="0A5394"/>
          </w:tcPr>
          <w:p>
            <w:pPr>
              <w:pStyle w:val="TableParagraph"/>
              <w:spacing w:before="47"/>
              <w:ind w:left="20"/>
              <w:rPr>
                <w:b/>
                <w:sz w:val="20"/>
              </w:rPr>
            </w:pPr>
            <w:r>
              <w:rPr>
                <w:b/>
                <w:color w:val="FFFFFF"/>
                <w:spacing w:val="-5"/>
                <w:sz w:val="20"/>
              </w:rPr>
              <w:t>RTO</w:t>
            </w:r>
          </w:p>
        </w:tc>
        <w:tc>
          <w:tcPr>
            <w:tcW w:w="2660" w:type="dxa"/>
            <w:shd w:val="clear" w:color="auto" w:fill="0A5394"/>
          </w:tcPr>
          <w:p>
            <w:pPr>
              <w:pStyle w:val="TableParagraph"/>
              <w:spacing w:before="47"/>
              <w:ind w:left="15"/>
              <w:rPr>
                <w:b/>
                <w:sz w:val="20"/>
              </w:rPr>
            </w:pPr>
            <w:r>
              <w:rPr>
                <w:b/>
                <w:color w:val="FFFFFF"/>
                <w:spacing w:val="-5"/>
                <w:sz w:val="20"/>
              </w:rPr>
              <w:t>RPO</w:t>
            </w:r>
          </w:p>
        </w:tc>
      </w:tr>
      <w:tr>
        <w:trPr>
          <w:trHeight w:val="359" w:hRule="atLeast"/>
        </w:trPr>
        <w:tc>
          <w:tcPr>
            <w:tcW w:w="2420" w:type="dxa"/>
          </w:tcPr>
          <w:p>
            <w:pPr>
              <w:pStyle w:val="TableParagraph"/>
              <w:spacing w:before="42"/>
              <w:ind w:left="10"/>
              <w:rPr>
                <w:sz w:val="20"/>
              </w:rPr>
            </w:pPr>
            <w:r>
              <w:rPr>
                <w:spacing w:val="-2"/>
                <w:sz w:val="20"/>
              </w:rPr>
              <w:t>Advanced</w:t>
            </w:r>
          </w:p>
        </w:tc>
        <w:tc>
          <w:tcPr>
            <w:tcW w:w="2640" w:type="dxa"/>
          </w:tcPr>
          <w:p>
            <w:pPr>
              <w:pStyle w:val="TableParagraph"/>
              <w:spacing w:before="42"/>
              <w:ind w:left="20"/>
              <w:rPr>
                <w:sz w:val="20"/>
              </w:rPr>
            </w:pPr>
            <w:r>
              <w:rPr>
                <w:sz w:val="20"/>
              </w:rPr>
              <w:t>21</w:t>
            </w:r>
            <w:r>
              <w:rPr>
                <w:spacing w:val="-4"/>
                <w:sz w:val="20"/>
              </w:rPr>
              <w:t> </w:t>
            </w:r>
            <w:r>
              <w:rPr>
                <w:spacing w:val="-2"/>
                <w:sz w:val="20"/>
              </w:rPr>
              <w:t>Minutes</w:t>
            </w:r>
          </w:p>
        </w:tc>
        <w:tc>
          <w:tcPr>
            <w:tcW w:w="2660" w:type="dxa"/>
          </w:tcPr>
          <w:p>
            <w:pPr>
              <w:pStyle w:val="TableParagraph"/>
              <w:spacing w:before="42"/>
              <w:ind w:left="15"/>
              <w:rPr>
                <w:sz w:val="20"/>
              </w:rPr>
            </w:pPr>
            <w:r>
              <w:rPr>
                <w:sz w:val="20"/>
              </w:rPr>
              <w:t>1</w:t>
            </w:r>
            <w:r>
              <w:rPr>
                <w:spacing w:val="-1"/>
                <w:sz w:val="20"/>
              </w:rPr>
              <w:t> </w:t>
            </w:r>
            <w:r>
              <w:rPr>
                <w:spacing w:val="-2"/>
                <w:sz w:val="20"/>
              </w:rPr>
              <w:t>Minute</w:t>
            </w:r>
          </w:p>
        </w:tc>
      </w:tr>
      <w:tr>
        <w:trPr>
          <w:trHeight w:val="359" w:hRule="atLeast"/>
        </w:trPr>
        <w:tc>
          <w:tcPr>
            <w:tcW w:w="2420" w:type="dxa"/>
          </w:tcPr>
          <w:p>
            <w:pPr>
              <w:pStyle w:val="TableParagraph"/>
              <w:spacing w:before="37"/>
              <w:ind w:left="10"/>
              <w:rPr>
                <w:sz w:val="20"/>
              </w:rPr>
            </w:pPr>
            <w:r>
              <w:rPr>
                <w:spacing w:val="-2"/>
                <w:sz w:val="20"/>
              </w:rPr>
              <w:t>Enterprise</w:t>
            </w:r>
          </w:p>
        </w:tc>
        <w:tc>
          <w:tcPr>
            <w:tcW w:w="2640" w:type="dxa"/>
          </w:tcPr>
          <w:p>
            <w:pPr>
              <w:pStyle w:val="TableParagraph"/>
              <w:spacing w:before="37"/>
              <w:ind w:left="20"/>
              <w:rPr>
                <w:sz w:val="20"/>
              </w:rPr>
            </w:pPr>
            <w:r>
              <w:rPr>
                <w:sz w:val="20"/>
              </w:rPr>
              <w:t>4</w:t>
            </w:r>
            <w:r>
              <w:rPr>
                <w:spacing w:val="-1"/>
                <w:sz w:val="20"/>
              </w:rPr>
              <w:t> </w:t>
            </w:r>
            <w:r>
              <w:rPr>
                <w:spacing w:val="-2"/>
                <w:sz w:val="20"/>
              </w:rPr>
              <w:t>Minutes</w:t>
            </w:r>
          </w:p>
        </w:tc>
        <w:tc>
          <w:tcPr>
            <w:tcW w:w="2660" w:type="dxa"/>
          </w:tcPr>
          <w:p>
            <w:pPr>
              <w:pStyle w:val="TableParagraph"/>
              <w:spacing w:before="37"/>
              <w:ind w:left="15"/>
              <w:rPr>
                <w:sz w:val="20"/>
              </w:rPr>
            </w:pPr>
            <w:r>
              <w:rPr>
                <w:sz w:val="20"/>
              </w:rPr>
              <w:t>1</w:t>
            </w:r>
            <w:r>
              <w:rPr>
                <w:spacing w:val="-1"/>
                <w:sz w:val="20"/>
              </w:rPr>
              <w:t> </w:t>
            </w:r>
            <w:r>
              <w:rPr>
                <w:spacing w:val="-2"/>
                <w:sz w:val="20"/>
              </w:rPr>
              <w:t>Minute</w:t>
            </w:r>
          </w:p>
        </w:tc>
      </w:tr>
    </w:tbl>
    <w:p>
      <w:pPr>
        <w:pStyle w:val="BodyText"/>
        <w:spacing w:before="24"/>
        <w:ind w:left="0"/>
        <w:jc w:val="left"/>
      </w:pPr>
    </w:p>
    <w:p>
      <w:pPr>
        <w:pStyle w:val="BodyText"/>
        <w:spacing w:line="237" w:lineRule="auto"/>
        <w:ind w:right="221"/>
      </w:pPr>
      <w:r>
        <w:rPr/>
        <w:t>Appian’s</w:t>
      </w:r>
      <w:r>
        <w:rPr>
          <w:spacing w:val="26"/>
        </w:rPr>
        <w:t> </w:t>
      </w:r>
      <w:r>
        <w:rPr/>
        <w:t>exclusive</w:t>
      </w:r>
      <w:r>
        <w:rPr>
          <w:spacing w:val="26"/>
        </w:rPr>
        <w:t> </w:t>
      </w:r>
      <w:r>
        <w:rPr/>
        <w:t>obligation and Subscriber sole remedy for any failure by Appian to meet the RTO or RPO in a month will be</w:t>
      </w:r>
      <w:r>
        <w:rPr>
          <w:spacing w:val="-3"/>
        </w:rPr>
        <w:t> </w:t>
      </w:r>
      <w:r>
        <w:rPr/>
        <w:t>Subscriber’s</w:t>
      </w:r>
      <w:r>
        <w:rPr>
          <w:spacing w:val="-3"/>
        </w:rPr>
        <w:t> </w:t>
      </w:r>
      <w:r>
        <w:rPr/>
        <w:t>right</w:t>
      </w:r>
      <w:r>
        <w:rPr>
          <w:spacing w:val="-3"/>
        </w:rPr>
        <w:t> </w:t>
      </w:r>
      <w:r>
        <w:rPr/>
        <w:t>to</w:t>
      </w:r>
      <w:r>
        <w:rPr>
          <w:spacing w:val="-3"/>
        </w:rPr>
        <w:t> </w:t>
      </w:r>
      <w:r>
        <w:rPr/>
        <w:t>a</w:t>
      </w:r>
      <w:r>
        <w:rPr>
          <w:spacing w:val="-3"/>
        </w:rPr>
        <w:t> </w:t>
      </w:r>
      <w:r>
        <w:rPr/>
        <w:t>Service</w:t>
      </w:r>
      <w:r>
        <w:rPr>
          <w:spacing w:val="-3"/>
        </w:rPr>
        <w:t> </w:t>
      </w:r>
      <w:r>
        <w:rPr/>
        <w:t>Credit</w:t>
      </w:r>
      <w:r>
        <w:rPr>
          <w:spacing w:val="-3"/>
        </w:rPr>
        <w:t> </w:t>
      </w:r>
      <w:r>
        <w:rPr/>
        <w:t>against</w:t>
      </w:r>
      <w:r>
        <w:rPr>
          <w:spacing w:val="-3"/>
        </w:rPr>
        <w:t> </w:t>
      </w:r>
      <w:r>
        <w:rPr/>
        <w:t>the</w:t>
      </w:r>
      <w:r>
        <w:rPr>
          <w:spacing w:val="-3"/>
        </w:rPr>
        <w:t> </w:t>
      </w:r>
      <w:r>
        <w:rPr/>
        <w:t>sum</w:t>
      </w:r>
      <w:r>
        <w:rPr>
          <w:spacing w:val="-3"/>
        </w:rPr>
        <w:t> </w:t>
      </w:r>
      <w:r>
        <w:rPr/>
        <w:t>of</w:t>
      </w:r>
      <w:r>
        <w:rPr>
          <w:spacing w:val="-3"/>
        </w:rPr>
        <w:t> </w:t>
      </w:r>
      <w:r>
        <w:rPr/>
        <w:t>applicable</w:t>
      </w:r>
      <w:r>
        <w:rPr>
          <w:spacing w:val="-3"/>
        </w:rPr>
        <w:t> </w:t>
      </w:r>
      <w:r>
        <w:rPr/>
        <w:t>license</w:t>
      </w:r>
      <w:r>
        <w:rPr>
          <w:spacing w:val="-3"/>
        </w:rPr>
        <w:t> </w:t>
      </w:r>
      <w:r>
        <w:rPr/>
        <w:t>and</w:t>
      </w:r>
      <w:r>
        <w:rPr>
          <w:spacing w:val="-3"/>
        </w:rPr>
        <w:t> </w:t>
      </w:r>
      <w:r>
        <w:rPr/>
        <w:t>Support</w:t>
      </w:r>
      <w:r>
        <w:rPr>
          <w:spacing w:val="-3"/>
        </w:rPr>
        <w:t> </w:t>
      </w:r>
      <w:r>
        <w:rPr/>
        <w:t>fees</w:t>
      </w:r>
      <w:r>
        <w:rPr>
          <w:spacing w:val="-3"/>
        </w:rPr>
        <w:t> </w:t>
      </w:r>
      <w:r>
        <w:rPr/>
        <w:t>payable</w:t>
      </w:r>
      <w:r>
        <w:rPr>
          <w:spacing w:val="-3"/>
        </w:rPr>
        <w:t> </w:t>
      </w:r>
      <w:r>
        <w:rPr/>
        <w:t>for</w:t>
      </w:r>
      <w:r>
        <w:rPr>
          <w:spacing w:val="-3"/>
        </w:rPr>
        <w:t> </w:t>
      </w:r>
      <w:r>
        <w:rPr/>
        <w:t>that</w:t>
      </w:r>
      <w:r>
        <w:rPr>
          <w:spacing w:val="-3"/>
        </w:rPr>
        <w:t> </w:t>
      </w:r>
      <w:r>
        <w:rPr/>
        <w:t>month in the percentage outlined in the table above in the section entitled “Availability and Service Credits.”</w:t>
      </w:r>
    </w:p>
    <w:p>
      <w:pPr>
        <w:pStyle w:val="ListParagraph"/>
        <w:numPr>
          <w:ilvl w:val="2"/>
          <w:numId w:val="1"/>
        </w:numPr>
        <w:tabs>
          <w:tab w:pos="428" w:val="left" w:leader="none"/>
        </w:tabs>
        <w:spacing w:line="235" w:lineRule="auto" w:before="201" w:after="0"/>
        <w:ind w:left="140" w:right="222" w:firstLine="0"/>
        <w:jc w:val="both"/>
        <w:rPr>
          <w:sz w:val="20"/>
        </w:rPr>
      </w:pPr>
      <w:r>
        <w:rPr>
          <w:b/>
          <w:sz w:val="20"/>
        </w:rPr>
        <w:t>Dedicated</w:t>
      </w:r>
      <w:r>
        <w:rPr>
          <w:b/>
          <w:spacing w:val="27"/>
          <w:sz w:val="20"/>
        </w:rPr>
        <w:t> </w:t>
      </w:r>
      <w:r>
        <w:rPr>
          <w:b/>
          <w:sz w:val="20"/>
        </w:rPr>
        <w:t>Virtual</w:t>
      </w:r>
      <w:r>
        <w:rPr>
          <w:b/>
          <w:spacing w:val="27"/>
          <w:sz w:val="20"/>
        </w:rPr>
        <w:t> </w:t>
      </w:r>
      <w:r>
        <w:rPr>
          <w:b/>
          <w:sz w:val="20"/>
        </w:rPr>
        <w:t>Private Cloud (VPC) </w:t>
      </w:r>
      <w:r>
        <w:rPr>
          <w:sz w:val="20"/>
        </w:rPr>
        <w:t>means that, at the option of Subscribers with Enterprise support, Appian will host Subscriber’s Cloud Offering instances in a dedicated Virtual Private</w:t>
      </w:r>
      <w:r>
        <w:rPr>
          <w:spacing w:val="-3"/>
          <w:sz w:val="20"/>
        </w:rPr>
        <w:t> </w:t>
      </w:r>
      <w:r>
        <w:rPr>
          <w:sz w:val="20"/>
        </w:rPr>
        <w:t>Cloud</w:t>
      </w:r>
      <w:r>
        <w:rPr>
          <w:spacing w:val="-3"/>
          <w:sz w:val="20"/>
        </w:rPr>
        <w:t> </w:t>
      </w:r>
      <w:r>
        <w:rPr>
          <w:sz w:val="20"/>
        </w:rPr>
        <w:t>(VPC)</w:t>
      </w:r>
      <w:r>
        <w:rPr>
          <w:spacing w:val="-3"/>
          <w:sz w:val="20"/>
        </w:rPr>
        <w:t> </w:t>
      </w:r>
      <w:r>
        <w:rPr>
          <w:sz w:val="20"/>
        </w:rPr>
        <w:t>with</w:t>
      </w:r>
      <w:r>
        <w:rPr>
          <w:spacing w:val="-3"/>
          <w:sz w:val="20"/>
        </w:rPr>
        <w:t> </w:t>
      </w:r>
      <w:r>
        <w:rPr>
          <w:sz w:val="20"/>
        </w:rPr>
        <w:t>the</w:t>
      </w:r>
      <w:r>
        <w:rPr>
          <w:spacing w:val="-3"/>
          <w:sz w:val="20"/>
        </w:rPr>
        <w:t> </w:t>
      </w:r>
      <w:r>
        <w:rPr>
          <w:sz w:val="20"/>
        </w:rPr>
        <w:t>ability</w:t>
      </w:r>
      <w:r>
        <w:rPr>
          <w:spacing w:val="-3"/>
          <w:sz w:val="20"/>
        </w:rPr>
        <w:t> </w:t>
      </w:r>
      <w:r>
        <w:rPr>
          <w:sz w:val="20"/>
        </w:rPr>
        <w:t>to</w:t>
      </w:r>
      <w:r>
        <w:rPr>
          <w:spacing w:val="-3"/>
          <w:sz w:val="20"/>
        </w:rPr>
        <w:t> </w:t>
      </w:r>
      <w:r>
        <w:rPr>
          <w:sz w:val="20"/>
        </w:rPr>
        <w:t>integrate</w:t>
      </w:r>
      <w:r>
        <w:rPr>
          <w:spacing w:val="-3"/>
          <w:sz w:val="20"/>
        </w:rPr>
        <w:t> </w:t>
      </w:r>
      <w:r>
        <w:rPr>
          <w:sz w:val="20"/>
        </w:rPr>
        <w:t>with existing business databases hosted in a customer-managed VPC.</w:t>
      </w:r>
    </w:p>
    <w:p>
      <w:pPr>
        <w:pStyle w:val="ListParagraph"/>
        <w:numPr>
          <w:ilvl w:val="2"/>
          <w:numId w:val="1"/>
        </w:numPr>
        <w:tabs>
          <w:tab w:pos="404" w:val="left" w:leader="none"/>
        </w:tabs>
        <w:spacing w:line="237" w:lineRule="auto" w:before="203" w:after="0"/>
        <w:ind w:left="140" w:right="221" w:firstLine="0"/>
        <w:jc w:val="both"/>
        <w:rPr>
          <w:sz w:val="20"/>
        </w:rPr>
      </w:pPr>
      <w:r>
        <w:rPr>
          <w:b/>
          <w:sz w:val="20"/>
        </w:rPr>
        <w:t>Monthly Data Snapshots </w:t>
      </w:r>
      <w:r>
        <w:rPr>
          <w:sz w:val="20"/>
        </w:rPr>
        <w:t>means that Subscribers with Enterprise support are entitled</w:t>
      </w:r>
      <w:r>
        <w:rPr>
          <w:spacing w:val="-2"/>
          <w:sz w:val="20"/>
        </w:rPr>
        <w:t> </w:t>
      </w:r>
      <w:r>
        <w:rPr>
          <w:sz w:val="20"/>
        </w:rPr>
        <w:t>to</w:t>
      </w:r>
      <w:r>
        <w:rPr>
          <w:spacing w:val="-2"/>
          <w:sz w:val="20"/>
        </w:rPr>
        <w:t> </w:t>
      </w:r>
      <w:r>
        <w:rPr>
          <w:sz w:val="20"/>
        </w:rPr>
        <w:t>one</w:t>
      </w:r>
      <w:r>
        <w:rPr>
          <w:spacing w:val="-2"/>
          <w:sz w:val="20"/>
        </w:rPr>
        <w:t> </w:t>
      </w:r>
      <w:r>
        <w:rPr>
          <w:sz w:val="20"/>
        </w:rPr>
        <w:t>Planned</w:t>
      </w:r>
      <w:r>
        <w:rPr>
          <w:spacing w:val="-2"/>
          <w:sz w:val="20"/>
        </w:rPr>
        <w:t> </w:t>
      </w:r>
      <w:r>
        <w:rPr>
          <w:sz w:val="20"/>
        </w:rPr>
        <w:t>Snapshot</w:t>
      </w:r>
      <w:r>
        <w:rPr>
          <w:spacing w:val="-2"/>
          <w:sz w:val="20"/>
        </w:rPr>
        <w:t> </w:t>
      </w:r>
      <w:r>
        <w:rPr>
          <w:sz w:val="20"/>
        </w:rPr>
        <w:t>per month at no charge. A Planned Snapshot is a backup for</w:t>
      </w:r>
      <w:r>
        <w:rPr>
          <w:spacing w:val="-2"/>
          <w:sz w:val="20"/>
        </w:rPr>
        <w:t> </w:t>
      </w:r>
      <w:r>
        <w:rPr>
          <w:sz w:val="20"/>
        </w:rPr>
        <w:t>a</w:t>
      </w:r>
      <w:r>
        <w:rPr>
          <w:spacing w:val="-2"/>
          <w:sz w:val="20"/>
        </w:rPr>
        <w:t> </w:t>
      </w:r>
      <w:r>
        <w:rPr>
          <w:sz w:val="20"/>
        </w:rPr>
        <w:t>single</w:t>
      </w:r>
      <w:r>
        <w:rPr>
          <w:spacing w:val="-2"/>
          <w:sz w:val="20"/>
        </w:rPr>
        <w:t> </w:t>
      </w:r>
      <w:r>
        <w:rPr>
          <w:sz w:val="20"/>
        </w:rPr>
        <w:t>Appian</w:t>
      </w:r>
      <w:r>
        <w:rPr>
          <w:spacing w:val="-2"/>
          <w:sz w:val="20"/>
        </w:rPr>
        <w:t> </w:t>
      </w:r>
      <w:r>
        <w:rPr>
          <w:sz w:val="20"/>
        </w:rPr>
        <w:t>Cloud</w:t>
      </w:r>
      <w:r>
        <w:rPr>
          <w:spacing w:val="-2"/>
          <w:sz w:val="20"/>
        </w:rPr>
        <w:t> </w:t>
      </w:r>
      <w:r>
        <w:rPr>
          <w:sz w:val="20"/>
        </w:rPr>
        <w:t>instance</w:t>
      </w:r>
      <w:r>
        <w:rPr>
          <w:spacing w:val="-2"/>
          <w:sz w:val="20"/>
        </w:rPr>
        <w:t> </w:t>
      </w:r>
      <w:r>
        <w:rPr>
          <w:sz w:val="20"/>
        </w:rPr>
        <w:t>(data</w:t>
      </w:r>
      <w:r>
        <w:rPr>
          <w:spacing w:val="-2"/>
          <w:sz w:val="20"/>
        </w:rPr>
        <w:t> </w:t>
      </w:r>
      <w:r>
        <w:rPr>
          <w:sz w:val="20"/>
        </w:rPr>
        <w:t>and</w:t>
      </w:r>
      <w:r>
        <w:rPr>
          <w:spacing w:val="-2"/>
          <w:sz w:val="20"/>
        </w:rPr>
        <w:t> </w:t>
      </w:r>
      <w:r>
        <w:rPr>
          <w:sz w:val="20"/>
        </w:rPr>
        <w:t>configurations)</w:t>
      </w:r>
      <w:r>
        <w:rPr>
          <w:spacing w:val="-2"/>
          <w:sz w:val="20"/>
        </w:rPr>
        <w:t> </w:t>
      </w:r>
      <w:r>
        <w:rPr>
          <w:sz w:val="20"/>
        </w:rPr>
        <w:t>that</w:t>
      </w:r>
      <w:r>
        <w:rPr>
          <w:spacing w:val="-2"/>
          <w:sz w:val="20"/>
        </w:rPr>
        <w:t> </w:t>
      </w:r>
      <w:r>
        <w:rPr>
          <w:sz w:val="20"/>
        </w:rPr>
        <w:t>is taken</w:t>
      </w:r>
      <w:r>
        <w:rPr>
          <w:spacing w:val="26"/>
          <w:sz w:val="20"/>
        </w:rPr>
        <w:t> </w:t>
      </w:r>
      <w:r>
        <w:rPr>
          <w:sz w:val="20"/>
        </w:rPr>
        <w:t>on-demand at a mutually agreed time, typically during normal business hours.</w:t>
      </w:r>
      <w:r>
        <w:rPr>
          <w:spacing w:val="80"/>
          <w:sz w:val="20"/>
        </w:rPr>
        <w:t> </w:t>
      </w:r>
      <w:r>
        <w:rPr>
          <w:sz w:val="20"/>
        </w:rPr>
        <w:t>The Planned Snapshot is retained for 90 calendar days.</w:t>
      </w:r>
    </w:p>
    <w:p>
      <w:pPr>
        <w:pStyle w:val="ListParagraph"/>
        <w:numPr>
          <w:ilvl w:val="2"/>
          <w:numId w:val="1"/>
        </w:numPr>
        <w:tabs>
          <w:tab w:pos="359" w:val="left" w:leader="none"/>
        </w:tabs>
        <w:spacing w:line="237" w:lineRule="auto" w:before="200" w:after="0"/>
        <w:ind w:left="140" w:right="217" w:firstLine="0"/>
        <w:jc w:val="both"/>
        <w:rPr>
          <w:sz w:val="20"/>
        </w:rPr>
      </w:pPr>
      <w:r>
        <w:rPr>
          <w:b/>
          <w:sz w:val="20"/>
        </w:rPr>
        <w:t>Monthly Data Refresh </w:t>
      </w:r>
      <w:r>
        <w:rPr>
          <w:sz w:val="20"/>
        </w:rPr>
        <w:t>means</w:t>
      </w:r>
      <w:r>
        <w:rPr>
          <w:spacing w:val="-2"/>
          <w:sz w:val="20"/>
        </w:rPr>
        <w:t> </w:t>
      </w:r>
      <w:r>
        <w:rPr>
          <w:sz w:val="20"/>
        </w:rPr>
        <w:t>that</w:t>
      </w:r>
      <w:r>
        <w:rPr>
          <w:spacing w:val="-2"/>
          <w:sz w:val="20"/>
        </w:rPr>
        <w:t> </w:t>
      </w:r>
      <w:r>
        <w:rPr>
          <w:sz w:val="20"/>
        </w:rPr>
        <w:t>Subscribers</w:t>
      </w:r>
      <w:r>
        <w:rPr>
          <w:spacing w:val="-2"/>
          <w:sz w:val="20"/>
        </w:rPr>
        <w:t> </w:t>
      </w:r>
      <w:r>
        <w:rPr>
          <w:sz w:val="20"/>
        </w:rPr>
        <w:t>with</w:t>
      </w:r>
      <w:r>
        <w:rPr>
          <w:spacing w:val="-2"/>
          <w:sz w:val="20"/>
        </w:rPr>
        <w:t> </w:t>
      </w:r>
      <w:r>
        <w:rPr>
          <w:sz w:val="20"/>
        </w:rPr>
        <w:t>Enterprise</w:t>
      </w:r>
      <w:r>
        <w:rPr>
          <w:spacing w:val="-2"/>
          <w:sz w:val="20"/>
        </w:rPr>
        <w:t> </w:t>
      </w:r>
      <w:r>
        <w:rPr>
          <w:sz w:val="20"/>
        </w:rPr>
        <w:t>support</w:t>
      </w:r>
      <w:r>
        <w:rPr>
          <w:spacing w:val="-2"/>
          <w:sz w:val="20"/>
        </w:rPr>
        <w:t> </w:t>
      </w:r>
      <w:r>
        <w:rPr>
          <w:sz w:val="20"/>
        </w:rPr>
        <w:t>are</w:t>
      </w:r>
      <w:r>
        <w:rPr>
          <w:spacing w:val="-2"/>
          <w:sz w:val="20"/>
        </w:rPr>
        <w:t> </w:t>
      </w:r>
      <w:r>
        <w:rPr>
          <w:sz w:val="20"/>
        </w:rPr>
        <w:t>entitled</w:t>
      </w:r>
      <w:r>
        <w:rPr>
          <w:spacing w:val="-2"/>
          <w:sz w:val="20"/>
        </w:rPr>
        <w:t> </w:t>
      </w:r>
      <w:r>
        <w:rPr>
          <w:sz w:val="20"/>
        </w:rPr>
        <w:t>to</w:t>
      </w:r>
      <w:r>
        <w:rPr>
          <w:spacing w:val="-2"/>
          <w:sz w:val="20"/>
        </w:rPr>
        <w:t> </w:t>
      </w:r>
      <w:r>
        <w:rPr>
          <w:sz w:val="20"/>
        </w:rPr>
        <w:t>one</w:t>
      </w:r>
      <w:r>
        <w:rPr>
          <w:spacing w:val="-2"/>
          <w:sz w:val="20"/>
        </w:rPr>
        <w:t> </w:t>
      </w:r>
      <w:r>
        <w:rPr>
          <w:sz w:val="20"/>
        </w:rPr>
        <w:t>Data</w:t>
      </w:r>
      <w:r>
        <w:rPr>
          <w:spacing w:val="-2"/>
          <w:sz w:val="20"/>
        </w:rPr>
        <w:t> </w:t>
      </w:r>
      <w:r>
        <w:rPr>
          <w:sz w:val="20"/>
        </w:rPr>
        <w:t>Refresh</w:t>
      </w:r>
      <w:r>
        <w:rPr>
          <w:spacing w:val="-2"/>
          <w:sz w:val="20"/>
        </w:rPr>
        <w:t> </w:t>
      </w:r>
      <w:r>
        <w:rPr>
          <w:sz w:val="20"/>
        </w:rPr>
        <w:t>per</w:t>
      </w:r>
      <w:r>
        <w:rPr>
          <w:spacing w:val="-2"/>
          <w:sz w:val="20"/>
        </w:rPr>
        <w:t> </w:t>
      </w:r>
      <w:r>
        <w:rPr>
          <w:sz w:val="20"/>
        </w:rPr>
        <w:t>month</w:t>
      </w:r>
      <w:r>
        <w:rPr>
          <w:spacing w:val="-2"/>
          <w:sz w:val="20"/>
        </w:rPr>
        <w:t> </w:t>
      </w:r>
      <w:r>
        <w:rPr>
          <w:sz w:val="20"/>
        </w:rPr>
        <w:t>at no charge.</w:t>
      </w:r>
      <w:r>
        <w:rPr>
          <w:spacing w:val="40"/>
          <w:sz w:val="20"/>
        </w:rPr>
        <w:t> </w:t>
      </w:r>
      <w:r>
        <w:rPr>
          <w:sz w:val="20"/>
        </w:rPr>
        <w:t>A Data Refresh is the copying of all of the data and configurations residing</w:t>
      </w:r>
      <w:r>
        <w:rPr>
          <w:spacing w:val="-3"/>
          <w:sz w:val="20"/>
        </w:rPr>
        <w:t> </w:t>
      </w:r>
      <w:r>
        <w:rPr>
          <w:sz w:val="20"/>
        </w:rPr>
        <w:t>on</w:t>
      </w:r>
      <w:r>
        <w:rPr>
          <w:spacing w:val="-3"/>
          <w:sz w:val="20"/>
        </w:rPr>
        <w:t> </w:t>
      </w:r>
      <w:r>
        <w:rPr>
          <w:sz w:val="20"/>
        </w:rPr>
        <w:t>one</w:t>
      </w:r>
      <w:r>
        <w:rPr>
          <w:spacing w:val="-3"/>
          <w:sz w:val="20"/>
        </w:rPr>
        <w:t> </w:t>
      </w:r>
      <w:r>
        <w:rPr>
          <w:sz w:val="20"/>
        </w:rPr>
        <w:t>Appian</w:t>
      </w:r>
      <w:r>
        <w:rPr>
          <w:spacing w:val="-3"/>
          <w:sz w:val="20"/>
        </w:rPr>
        <w:t> </w:t>
      </w:r>
      <w:r>
        <w:rPr>
          <w:sz w:val="20"/>
        </w:rPr>
        <w:t>Cloud</w:t>
      </w:r>
      <w:r>
        <w:rPr>
          <w:spacing w:val="-3"/>
          <w:sz w:val="20"/>
        </w:rPr>
        <w:t> </w:t>
      </w:r>
      <w:r>
        <w:rPr>
          <w:sz w:val="20"/>
        </w:rPr>
        <w:t>instance</w:t>
      </w:r>
      <w:r>
        <w:rPr>
          <w:spacing w:val="-3"/>
          <w:sz w:val="20"/>
        </w:rPr>
        <w:t> </w:t>
      </w:r>
      <w:r>
        <w:rPr>
          <w:sz w:val="20"/>
        </w:rPr>
        <w:t>to replace the data and configurations residing on another Appian Cloud instance in its entirety.</w:t>
      </w:r>
      <w:r>
        <w:rPr>
          <w:spacing w:val="40"/>
          <w:sz w:val="20"/>
        </w:rPr>
        <w:t> </w:t>
      </w:r>
      <w:r>
        <w:rPr>
          <w:sz w:val="20"/>
        </w:rPr>
        <w:t>Note that the source and target instance resource allocation must be equal in order for Appian to perform a Data Refresh.</w:t>
      </w:r>
    </w:p>
    <w:sectPr>
      <w:pgSz w:w="12240" w:h="15840"/>
      <w:pgMar w:header="0" w:footer="419" w:top="1140" w:bottom="600" w:left="580" w:right="5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Tahoma">
    <w:altName w:val="Tahoma"/>
    <w:charset w:val="0"/>
    <w:family w:val="swiss"/>
    <w:pitch w:val="variable"/>
  </w:font>
  <w:font w:name="MS PGothic">
    <w:altName w:val="MS PGothic"/>
    <w:charset w:val="0"/>
    <w:family w:val="swiss"/>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jc w:val="left"/>
    </w:pPr>
    <w:r>
      <w:rPr/>
      <mc:AlternateContent>
        <mc:Choice Requires="wps">
          <w:drawing>
            <wp:anchor distT="0" distB="0" distL="0" distR="0" allowOverlap="1" layoutInCell="1" locked="0" behindDoc="1" simplePos="0" relativeHeight="487206912">
              <wp:simplePos x="0" y="0"/>
              <wp:positionH relativeFrom="page">
                <wp:posOffset>4069972</wp:posOffset>
              </wp:positionH>
              <wp:positionV relativeFrom="page">
                <wp:posOffset>9652599</wp:posOffset>
              </wp:positionV>
              <wp:extent cx="160020" cy="16764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60020" cy="167640"/>
                      </a:xfrm>
                      <a:prstGeom prst="rect">
                        <a:avLst/>
                      </a:prstGeom>
                    </wps:spPr>
                    <wps:txbx>
                      <w:txbxContent>
                        <w:p>
                          <w:pPr>
                            <w:pStyle w:val="BodyText"/>
                            <w:spacing w:before="13"/>
                            <w:ind w:left="60"/>
                            <w:jc w:val="left"/>
                            <w:rPr>
                              <w:rFonts w:ascii="Arial"/>
                            </w:rPr>
                          </w:pPr>
                          <w:r>
                            <w:rPr>
                              <w:rFonts w:ascii="Arial"/>
                              <w:spacing w:val="-10"/>
                            </w:rPr>
                            <w:fldChar w:fldCharType="begin"/>
                          </w:r>
                          <w:r>
                            <w:rPr>
                              <w:rFonts w:ascii="Arial"/>
                              <w:spacing w:val="-10"/>
                            </w:rPr>
                            <w:instrText> PAGE </w:instrText>
                          </w:r>
                          <w:r>
                            <w:rPr>
                              <w:rFonts w:ascii="Arial"/>
                              <w:spacing w:val="-10"/>
                            </w:rPr>
                            <w:fldChar w:fldCharType="separate"/>
                          </w:r>
                          <w:r>
                            <w:rPr>
                              <w:rFonts w:ascii="Arial"/>
                              <w:spacing w:val="-10"/>
                            </w:rPr>
                            <w:t>2</w:t>
                          </w:r>
                          <w:r>
                            <w:rPr>
                              <w:rFonts w:ascii="Arial"/>
                              <w:spacing w:val="-10"/>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20.470306pt;margin-top:760.047241pt;width:12.6pt;height:13.2pt;mso-position-horizontal-relative:page;mso-position-vertical-relative:page;z-index:-16109568" type="#_x0000_t202" id="docshape1" filled="false" stroked="false">
              <v:textbox inset="0,0,0,0">
                <w:txbxContent>
                  <w:p>
                    <w:pPr>
                      <w:pStyle w:val="BodyText"/>
                      <w:spacing w:before="13"/>
                      <w:ind w:left="60"/>
                      <w:jc w:val="left"/>
                      <w:rPr>
                        <w:rFonts w:ascii="Arial"/>
                      </w:rPr>
                    </w:pPr>
                    <w:r>
                      <w:rPr>
                        <w:rFonts w:ascii="Arial"/>
                        <w:spacing w:val="-10"/>
                      </w:rPr>
                      <w:fldChar w:fldCharType="begin"/>
                    </w:r>
                    <w:r>
                      <w:rPr>
                        <w:rFonts w:ascii="Arial"/>
                        <w:spacing w:val="-10"/>
                      </w:rPr>
                      <w:instrText> PAGE </w:instrText>
                    </w:r>
                    <w:r>
                      <w:rPr>
                        <w:rFonts w:ascii="Arial"/>
                        <w:spacing w:val="-10"/>
                      </w:rPr>
                      <w:fldChar w:fldCharType="separate"/>
                    </w:r>
                    <w:r>
                      <w:rPr>
                        <w:rFonts w:ascii="Arial"/>
                        <w:spacing w:val="-10"/>
                      </w:rPr>
                      <w:t>2</w:t>
                    </w:r>
                    <w:r>
                      <w:rPr>
                        <w:rFonts w:ascii="Arial"/>
                        <w:spacing w:val="-10"/>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140" w:hanging="293"/>
        <w:jc w:val="left"/>
      </w:pPr>
      <w:rPr>
        <w:rFonts w:hint="default"/>
        <w:spacing w:val="-1"/>
        <w:w w:val="100"/>
        <w:lang w:val="en-US" w:eastAsia="en-US" w:bidi="ar-SA"/>
      </w:rPr>
    </w:lvl>
    <w:lvl w:ilvl="1">
      <w:start w:val="1"/>
      <w:numFmt w:val="lowerLetter"/>
      <w:lvlText w:val="%2."/>
      <w:lvlJc w:val="left"/>
      <w:pPr>
        <w:ind w:left="140" w:hanging="273"/>
        <w:jc w:val="left"/>
      </w:pPr>
      <w:rPr>
        <w:rFonts w:hint="default" w:ascii="Tahoma" w:hAnsi="Tahoma" w:eastAsia="Tahoma" w:cs="Tahoma"/>
        <w:b w:val="0"/>
        <w:bCs w:val="0"/>
        <w:i w:val="0"/>
        <w:iCs w:val="0"/>
        <w:spacing w:val="-1"/>
        <w:w w:val="100"/>
        <w:sz w:val="20"/>
        <w:szCs w:val="20"/>
        <w:lang w:val="en-US" w:eastAsia="en-US" w:bidi="ar-SA"/>
      </w:rPr>
    </w:lvl>
    <w:lvl w:ilvl="2">
      <w:start w:val="1"/>
      <w:numFmt w:val="lowerRoman"/>
      <w:lvlText w:val="%3."/>
      <w:lvlJc w:val="left"/>
      <w:pPr>
        <w:ind w:left="500" w:hanging="360"/>
        <w:jc w:val="left"/>
      </w:pPr>
      <w:rPr>
        <w:rFonts w:hint="default" w:ascii="Tahoma" w:hAnsi="Tahoma" w:eastAsia="Tahoma" w:cs="Tahoma"/>
        <w:b w:val="0"/>
        <w:bCs w:val="0"/>
        <w:i w:val="0"/>
        <w:iCs w:val="0"/>
        <w:spacing w:val="-1"/>
        <w:w w:val="100"/>
        <w:sz w:val="20"/>
        <w:szCs w:val="20"/>
        <w:lang w:val="en-US" w:eastAsia="en-US" w:bidi="ar-SA"/>
      </w:rPr>
    </w:lvl>
    <w:lvl w:ilvl="3">
      <w:start w:val="1"/>
      <w:numFmt w:val="upperLetter"/>
      <w:lvlText w:val="%4."/>
      <w:lvlJc w:val="left"/>
      <w:pPr>
        <w:ind w:left="860" w:hanging="270"/>
        <w:jc w:val="left"/>
      </w:pPr>
      <w:rPr>
        <w:rFonts w:hint="default" w:ascii="Tahoma" w:hAnsi="Tahoma" w:eastAsia="Tahoma" w:cs="Tahoma"/>
        <w:b w:val="0"/>
        <w:bCs w:val="0"/>
        <w:i w:val="0"/>
        <w:iCs w:val="0"/>
        <w:spacing w:val="-1"/>
        <w:w w:val="100"/>
        <w:sz w:val="20"/>
        <w:szCs w:val="20"/>
        <w:lang w:val="en-US" w:eastAsia="en-US" w:bidi="ar-SA"/>
      </w:rPr>
    </w:lvl>
    <w:lvl w:ilvl="4">
      <w:start w:val="0"/>
      <w:numFmt w:val="bullet"/>
      <w:lvlText w:val="•"/>
      <w:lvlJc w:val="left"/>
      <w:pPr>
        <w:ind w:left="2331" w:hanging="270"/>
      </w:pPr>
      <w:rPr>
        <w:rFonts w:hint="default"/>
        <w:lang w:val="en-US" w:eastAsia="en-US" w:bidi="ar-SA"/>
      </w:rPr>
    </w:lvl>
    <w:lvl w:ilvl="5">
      <w:start w:val="0"/>
      <w:numFmt w:val="bullet"/>
      <w:lvlText w:val="•"/>
      <w:lvlJc w:val="left"/>
      <w:pPr>
        <w:ind w:left="3802" w:hanging="270"/>
      </w:pPr>
      <w:rPr>
        <w:rFonts w:hint="default"/>
        <w:lang w:val="en-US" w:eastAsia="en-US" w:bidi="ar-SA"/>
      </w:rPr>
    </w:lvl>
    <w:lvl w:ilvl="6">
      <w:start w:val="0"/>
      <w:numFmt w:val="bullet"/>
      <w:lvlText w:val="•"/>
      <w:lvlJc w:val="left"/>
      <w:pPr>
        <w:ind w:left="5274" w:hanging="270"/>
      </w:pPr>
      <w:rPr>
        <w:rFonts w:hint="default"/>
        <w:lang w:val="en-US" w:eastAsia="en-US" w:bidi="ar-SA"/>
      </w:rPr>
    </w:lvl>
    <w:lvl w:ilvl="7">
      <w:start w:val="0"/>
      <w:numFmt w:val="bullet"/>
      <w:lvlText w:val="•"/>
      <w:lvlJc w:val="left"/>
      <w:pPr>
        <w:ind w:left="6745" w:hanging="270"/>
      </w:pPr>
      <w:rPr>
        <w:rFonts w:hint="default"/>
        <w:lang w:val="en-US" w:eastAsia="en-US" w:bidi="ar-SA"/>
      </w:rPr>
    </w:lvl>
    <w:lvl w:ilvl="8">
      <w:start w:val="0"/>
      <w:numFmt w:val="bullet"/>
      <w:lvlText w:val="•"/>
      <w:lvlJc w:val="left"/>
      <w:pPr>
        <w:ind w:left="8217" w:hanging="27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ahoma" w:hAnsi="Tahoma" w:eastAsia="Tahoma" w:cs="Tahoma"/>
      <w:lang w:val="en-US" w:eastAsia="en-US" w:bidi="ar-SA"/>
    </w:rPr>
  </w:style>
  <w:style w:styleId="BodyText" w:type="paragraph">
    <w:name w:val="Body Text"/>
    <w:basedOn w:val="Normal"/>
    <w:uiPriority w:val="1"/>
    <w:qFormat/>
    <w:pPr>
      <w:ind w:left="140"/>
      <w:jc w:val="both"/>
    </w:pPr>
    <w:rPr>
      <w:rFonts w:ascii="Tahoma" w:hAnsi="Tahoma" w:eastAsia="Tahoma" w:cs="Tahoma"/>
      <w:sz w:val="20"/>
      <w:szCs w:val="20"/>
      <w:lang w:val="en-US" w:eastAsia="en-US" w:bidi="ar-SA"/>
    </w:rPr>
  </w:style>
  <w:style w:styleId="Heading1" w:type="paragraph">
    <w:name w:val="Heading 1"/>
    <w:basedOn w:val="Normal"/>
    <w:uiPriority w:val="1"/>
    <w:qFormat/>
    <w:pPr>
      <w:ind w:left="370" w:hanging="230"/>
      <w:jc w:val="both"/>
      <w:outlineLvl w:val="1"/>
    </w:pPr>
    <w:rPr>
      <w:rFonts w:ascii="Tahoma" w:hAnsi="Tahoma" w:eastAsia="Tahoma" w:cs="Tahoma"/>
      <w:b/>
      <w:bCs/>
      <w:sz w:val="20"/>
      <w:szCs w:val="20"/>
      <w:lang w:val="en-US" w:eastAsia="en-US" w:bidi="ar-SA"/>
    </w:rPr>
  </w:style>
  <w:style w:styleId="Title" w:type="paragraph">
    <w:name w:val="Title"/>
    <w:basedOn w:val="Normal"/>
    <w:uiPriority w:val="1"/>
    <w:qFormat/>
    <w:pPr>
      <w:ind w:left="4048" w:right="3921" w:firstLine="740"/>
    </w:pPr>
    <w:rPr>
      <w:rFonts w:ascii="Tahoma" w:hAnsi="Tahoma" w:eastAsia="Tahoma" w:cs="Tahoma"/>
      <w:b/>
      <w:bCs/>
      <w:sz w:val="24"/>
      <w:szCs w:val="24"/>
      <w:lang w:val="en-US" w:eastAsia="en-US" w:bidi="ar-SA"/>
    </w:rPr>
  </w:style>
  <w:style w:styleId="ListParagraph" w:type="paragraph">
    <w:name w:val="List Paragraph"/>
    <w:basedOn w:val="Normal"/>
    <w:uiPriority w:val="1"/>
    <w:qFormat/>
    <w:pPr>
      <w:ind w:left="140"/>
      <w:jc w:val="both"/>
    </w:pPr>
    <w:rPr>
      <w:rFonts w:ascii="Tahoma" w:hAnsi="Tahoma" w:eastAsia="Tahoma" w:cs="Tahoma"/>
      <w:lang w:val="en-US" w:eastAsia="en-US" w:bidi="ar-SA"/>
    </w:rPr>
  </w:style>
  <w:style w:styleId="TableParagraph" w:type="paragraph">
    <w:name w:val="Table Paragraph"/>
    <w:basedOn w:val="Normal"/>
    <w:uiPriority w:val="1"/>
    <w:qFormat/>
    <w:pPr>
      <w:jc w:val="center"/>
    </w:pPr>
    <w:rPr>
      <w:rFonts w:ascii="Tahoma" w:hAnsi="Tahoma" w:eastAsia="Tahoma" w:cs="Tahoma"/>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https://community.appian.com/" TargetMode="External"/><Relationship Id="rId7" Type="http://schemas.openxmlformats.org/officeDocument/2006/relationships/hyperlink" Target="https://docs.appian.com/suite/help/latest/Pre-Release-Testing-Program.html" TargetMode="External"/><Relationship Id="rId8" Type="http://schemas.openxmlformats.org/officeDocument/2006/relationships/hyperlink" Target="https://docs.appian.com/suite/help/latest/Cloud_Insights.html" TargetMode="External"/><Relationship Id="rId9" Type="http://schemas.openxmlformats.org/officeDocument/2006/relationships/hyperlink" Target="https://docs.appian.com/suite/help/latest/Enhanced_Data_Pipeline_for_Appian_Cloud.html" TargetMode="External"/><Relationship Id="rId10" Type="http://schemas.openxmlformats.org/officeDocument/2006/relationships/hyperlink" Target="https://docs.appian.com/suite/help/latest/Log_Streaming_for_Appian_Cloud.html" TargetMode="External"/><Relationship Id="rId11" Type="http://schemas.openxmlformats.org/officeDocument/2006/relationships/hyperlink" Target="https://docs.appian.com/suite/help/latest/Appian_Cloud_Database_Encryption.html" TargetMode="External"/><Relationship Id="rId12" Type="http://schemas.openxmlformats.org/officeDocument/2006/relationships/hyperlink" Target="https://docs.appian.com/suite/help/latest/Bring_Your_Own_Key.html" TargetMode="External"/><Relationship Id="rId13" Type="http://schemas.openxmlformats.org/officeDocument/2006/relationships/hyperlink" Target="https://docs.appian.com/suite/help/latest/Appian_Cloud_Data_Loss_Prevention.html" TargetMode="External"/><Relationship Id="rId14" Type="http://schemas.openxmlformats.org/officeDocument/2006/relationships/footer" Target="footer1.xml"/><Relationship Id="rId15" Type="http://schemas.openxmlformats.org/officeDocument/2006/relationships/hyperlink" Target="https://docs.appian.com/suite/help/latest/health-check.html" TargetMode="External"/><Relationship Id="rId1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Appian Cloud Service Level Agreement Global Jan 2023</dc:title>
  <dcterms:created xsi:type="dcterms:W3CDTF">2024-04-11T15:41:50Z</dcterms:created>
  <dcterms:modified xsi:type="dcterms:W3CDTF">2024-04-11T15:41:50Z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2024-04-07T00:00:00Z</vt:filetime>
  </property>
  <property fmtid="{D5CDD505-2E9C-101B-9397-08002B2CF9AE}" pid="3" name="LastSaved">
    <vt:filetime>2024-04-11T00:00:00Z</vt:filetime>
  </property>
  <property fmtid="{D5CDD505-2E9C-101B-9397-08002B2CF9AE}" pid="4" name="Producer">
    <vt:lpwstr>Skia/PDF m123 Google Docs Renderer</vt:lpwstr>
  </property>
</Properties>
</file>